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4" w:beforeLines="50"/>
        <w:jc w:val="center"/>
        <w:rPr>
          <w:rFonts w:hint="eastAsia" w:ascii="Times New Roman" w:hAnsi="Times New Roman" w:eastAsia="黑体" w:cs="Times New Roman"/>
          <w:b/>
          <w:bCs/>
          <w:sz w:val="36"/>
          <w:szCs w:val="36"/>
        </w:rPr>
      </w:pPr>
      <w:r>
        <w:rPr>
          <w:rFonts w:hint="eastAsia" w:ascii="Times New Roman" w:hAnsi="Times New Roman" w:eastAsia="黑体" w:cs="Times New Roman"/>
          <w:b/>
          <w:bCs/>
          <w:sz w:val="36"/>
          <w:szCs w:val="36"/>
        </w:rPr>
        <w:t>热处理淬火介质选择与国家低碳减排事业发展</w:t>
      </w:r>
    </w:p>
    <w:p>
      <w:pPr>
        <w:jc w:val="cente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eastAsia="zh-CN"/>
        </w:rPr>
        <w:t>姜聚满</w:t>
      </w:r>
      <w:r>
        <w:rPr>
          <w:rFonts w:hint="eastAsia" w:ascii="黑体" w:hAnsi="黑体" w:eastAsia="黑体" w:cs="黑体"/>
          <w:b w:val="0"/>
          <w:bCs w:val="0"/>
          <w:sz w:val="21"/>
          <w:szCs w:val="21"/>
          <w:vertAlign w:val="superscript"/>
          <w:lang w:val="en-US" w:eastAsia="zh-CN"/>
        </w:rPr>
        <w:t>1</w:t>
      </w:r>
      <w:r>
        <w:rPr>
          <w:rFonts w:hint="eastAsia" w:ascii="黑体" w:hAnsi="黑体" w:eastAsia="黑体" w:cs="黑体"/>
          <w:b w:val="0"/>
          <w:bCs w:val="0"/>
          <w:sz w:val="21"/>
          <w:szCs w:val="21"/>
          <w:lang w:val="en-US" w:eastAsia="zh-CN"/>
        </w:rPr>
        <w:t xml:space="preserve">  杨秀成</w:t>
      </w:r>
      <w:r>
        <w:rPr>
          <w:rFonts w:hint="eastAsia" w:ascii="黑体" w:hAnsi="黑体" w:eastAsia="黑体" w:cs="黑体"/>
          <w:b w:val="0"/>
          <w:bCs w:val="0"/>
          <w:sz w:val="21"/>
          <w:szCs w:val="21"/>
          <w:vertAlign w:val="superscript"/>
          <w:lang w:val="en-US" w:eastAsia="zh-CN"/>
        </w:rPr>
        <w:t>1</w:t>
      </w:r>
      <w:r>
        <w:rPr>
          <w:rFonts w:hint="eastAsia" w:ascii="黑体" w:hAnsi="黑体" w:eastAsia="黑体" w:cs="黑体"/>
          <w:b w:val="0"/>
          <w:bCs w:val="0"/>
          <w:sz w:val="21"/>
          <w:szCs w:val="21"/>
          <w:lang w:val="en-US" w:eastAsia="zh-CN"/>
        </w:rPr>
        <w:t xml:space="preserve">  夏丹凤</w:t>
      </w:r>
      <w:r>
        <w:rPr>
          <w:rFonts w:hint="eastAsia" w:ascii="黑体" w:hAnsi="黑体" w:eastAsia="黑体" w:cs="黑体"/>
          <w:b w:val="0"/>
          <w:bCs w:val="0"/>
          <w:sz w:val="21"/>
          <w:szCs w:val="21"/>
          <w:vertAlign w:val="superscript"/>
          <w:lang w:val="en-US" w:eastAsia="zh-CN"/>
        </w:rPr>
        <w:t>1</w:t>
      </w:r>
    </w:p>
    <w:p>
      <w:pPr>
        <w:jc w:val="center"/>
        <w:rPr>
          <w:rFonts w:hint="eastAsia" w:ascii="仿宋" w:hAnsi="仿宋" w:eastAsia="仿宋" w:cs="仿宋"/>
          <w:b/>
          <w:bCs/>
          <w:sz w:val="21"/>
          <w:szCs w:val="21"/>
        </w:rPr>
      </w:pPr>
      <w:r>
        <w:rPr>
          <w:rFonts w:hint="eastAsia" w:ascii="仿宋" w:hAnsi="仿宋" w:eastAsia="仿宋" w:cs="仿宋"/>
          <w:b w:val="0"/>
          <w:bCs w:val="0"/>
          <w:sz w:val="21"/>
          <w:szCs w:val="21"/>
          <w:lang w:eastAsia="zh-CN"/>
        </w:rPr>
        <w:t>（</w:t>
      </w:r>
      <w:r>
        <w:rPr>
          <w:rFonts w:hint="eastAsia" w:ascii="仿宋" w:hAnsi="仿宋" w:eastAsia="仿宋" w:cs="仿宋"/>
          <w:b w:val="0"/>
          <w:bCs w:val="0"/>
          <w:sz w:val="21"/>
          <w:szCs w:val="21"/>
          <w:lang w:val="en-US" w:eastAsia="zh-CN"/>
        </w:rPr>
        <w:t>1.</w:t>
      </w:r>
      <w:r>
        <w:rPr>
          <w:rFonts w:hint="eastAsia" w:ascii="仿宋" w:hAnsi="仿宋" w:eastAsia="仿宋" w:cs="仿宋"/>
          <w:b w:val="0"/>
          <w:bCs w:val="0"/>
          <w:sz w:val="21"/>
          <w:szCs w:val="21"/>
          <w:lang w:eastAsia="zh-CN"/>
        </w:rPr>
        <w:t>辽宁海明化学品有限公司，辽宁</w:t>
      </w:r>
      <w:r>
        <w:rPr>
          <w:rFonts w:hint="eastAsia" w:ascii="仿宋" w:hAnsi="仿宋" w:eastAsia="仿宋" w:cs="仿宋"/>
          <w:b w:val="0"/>
          <w:bCs w:val="0"/>
          <w:sz w:val="21"/>
          <w:szCs w:val="21"/>
          <w:lang w:val="en-US" w:eastAsia="zh-CN"/>
        </w:rPr>
        <w:t xml:space="preserve"> 丹东 118011</w:t>
      </w:r>
      <w:r>
        <w:rPr>
          <w:rFonts w:hint="eastAsia" w:ascii="仿宋" w:hAnsi="仿宋" w:eastAsia="仿宋" w:cs="仿宋"/>
          <w:b w:val="0"/>
          <w:bCs w:val="0"/>
          <w:sz w:val="21"/>
          <w:szCs w:val="21"/>
          <w:lang w:eastAsia="zh-CN"/>
        </w:rPr>
        <w:t>）</w:t>
      </w:r>
    </w:p>
    <w:p>
      <w:pPr>
        <w:jc w:val="left"/>
        <w:rPr>
          <w:rFonts w:ascii="宋体" w:hAnsi="宋体" w:eastAsia="宋体" w:cs="宋体"/>
          <w:b/>
          <w:bCs/>
          <w:sz w:val="18"/>
          <w:szCs w:val="18"/>
        </w:rPr>
      </w:pPr>
    </w:p>
    <w:p>
      <w:pPr>
        <w:jc w:val="left"/>
        <w:rPr>
          <w:rFonts w:hint="default" w:ascii="宋体" w:hAnsi="宋体" w:eastAsia="宋体" w:cs="宋体"/>
          <w:sz w:val="18"/>
          <w:szCs w:val="18"/>
          <w:lang w:val="en-US" w:eastAsia="zh-CN"/>
        </w:rPr>
      </w:pPr>
      <w:r>
        <w:rPr>
          <w:rFonts w:hint="eastAsia" w:ascii="宋体" w:hAnsi="宋体" w:eastAsia="宋体" w:cs="宋体"/>
          <w:sz w:val="18"/>
          <w:szCs w:val="18"/>
          <w:lang w:eastAsia="zh-CN"/>
        </w:rPr>
        <w:t>摘</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要：</w:t>
      </w:r>
      <w:r>
        <w:rPr>
          <w:rFonts w:hint="eastAsia" w:ascii="宋体" w:hAnsi="宋体" w:eastAsia="宋体" w:cs="宋体"/>
          <w:sz w:val="18"/>
          <w:szCs w:val="18"/>
          <w:lang w:val="en-US" w:eastAsia="zh-CN"/>
        </w:rPr>
        <w:t>本文论述了热处理淬火介质的选择，包括如下五种：热处理淬火油、PAG类水溶性淬火介质、PVP类油性淬火介质、PEO类水溶性淬火介质、无机水溶性淬火介质；热处理淬火介质对环境的影响；热处理淬火介质碳排放比较；热处理淬火介质多因素附加比较；最后热处理淬火介质的发展方向。</w:t>
      </w:r>
    </w:p>
    <w:p>
      <w:pPr>
        <w:jc w:val="left"/>
        <w:rPr>
          <w:rFonts w:hint="eastAsia" w:ascii="宋体" w:hAnsi="宋体" w:eastAsia="宋体" w:cs="宋体"/>
          <w:sz w:val="18"/>
          <w:szCs w:val="18"/>
          <w:lang w:eastAsia="zh-CN"/>
        </w:rPr>
      </w:pPr>
    </w:p>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关键词：热处理淬火介质；环境影响；碳排放；</w:t>
      </w:r>
      <w:r>
        <w:rPr>
          <w:rFonts w:hint="eastAsia" w:ascii="宋体" w:hAnsi="宋体" w:eastAsia="宋体" w:cs="宋体"/>
          <w:sz w:val="18"/>
          <w:szCs w:val="18"/>
          <w:lang w:val="en-US" w:eastAsia="zh-CN"/>
        </w:rPr>
        <w:t>VOCs排放比较；</w:t>
      </w:r>
      <w:r>
        <w:rPr>
          <w:rFonts w:hint="eastAsia" w:ascii="宋体" w:hAnsi="宋体" w:eastAsia="宋体" w:cs="宋体"/>
          <w:sz w:val="18"/>
          <w:szCs w:val="18"/>
          <w:lang w:eastAsia="zh-CN"/>
        </w:rPr>
        <w:t>多因素比较；发展方向。</w:t>
      </w:r>
    </w:p>
    <w:p>
      <w:pPr>
        <w:jc w:val="left"/>
        <w:rPr>
          <w:rFonts w:hint="eastAsia" w:ascii="宋体" w:hAnsi="宋体" w:eastAsia="宋体" w:cs="宋体"/>
          <w:sz w:val="18"/>
          <w:szCs w:val="18"/>
          <w:lang w:eastAsia="zh-CN"/>
        </w:rPr>
      </w:pPr>
    </w:p>
    <w:p>
      <w:pPr>
        <w:jc w:val="left"/>
        <w:rPr>
          <w:rFonts w:hint="eastAsia" w:ascii="宋体" w:hAnsi="宋体" w:eastAsia="宋体" w:cs="宋体"/>
          <w:b/>
          <w:bCs/>
          <w:sz w:val="18"/>
          <w:szCs w:val="18"/>
          <w:lang w:eastAsia="zh-CN"/>
        </w:rPr>
      </w:pPr>
      <w:r>
        <w:rPr>
          <w:rFonts w:hint="eastAsia" w:ascii="宋体" w:hAnsi="宋体" w:eastAsia="宋体" w:cs="宋体"/>
          <w:b/>
          <w:bCs/>
          <w:sz w:val="18"/>
          <w:szCs w:val="18"/>
          <w:lang w:eastAsia="zh-CN"/>
        </w:rPr>
        <w:t>前言</w:t>
      </w:r>
    </w:p>
    <w:p>
      <w:pPr>
        <w:ind w:firstLine="360" w:firstLineChars="200"/>
        <w:jc w:val="left"/>
        <w:rPr>
          <w:rFonts w:hint="eastAsia" w:ascii="宋体" w:hAnsi="宋体" w:eastAsia="宋体" w:cs="宋体"/>
          <w:sz w:val="21"/>
          <w:szCs w:val="21"/>
        </w:rPr>
      </w:pPr>
      <w:r>
        <w:rPr>
          <w:rFonts w:hint="eastAsia" w:ascii="宋体" w:hAnsi="宋体" w:eastAsia="宋体" w:cs="宋体"/>
          <w:sz w:val="18"/>
          <w:szCs w:val="18"/>
        </w:rPr>
        <w:t>本人于2011年7月在中国热处理行业学会主办的《金属热处理》杂志-第36卷第七期中发表了《PAG水溶性淬火介质与淬火油分析比较》一文，得到了国家热处理行业协会高度表扬及全行业的普遍认可，先后成为中国热处理行业及协会清洁生产先进技术（装备）推荐单位，热处理行业合格供应商。2015年国家发展改委把“环保型PAG水溶性淬火介质淬火技术”列入第二批《国家重点推广的低碳技术目录》，2016年国家热处理行业中小企业公共服务示范平台，机械工业（热处理）中小企业公共服务示范平台，中国热处理行业协会《水溶性淬火介质淬火技术研发与服务基地》。十多年来，先后研发了多种水溶性淬火介质。下面就多种热处理淬火介质性能特点及碳排放比较，淬火产生废气对环境、操作者影响，操作复杂性（维护对比，检测对比），后续废液处</w:t>
      </w:r>
      <w:bookmarkStart w:id="0" w:name="_GoBack"/>
      <w:bookmarkEnd w:id="0"/>
      <w:r>
        <w:rPr>
          <w:rFonts w:hint="eastAsia" w:ascii="宋体" w:hAnsi="宋体" w:eastAsia="宋体" w:cs="宋体"/>
          <w:sz w:val="18"/>
          <w:szCs w:val="18"/>
        </w:rPr>
        <w:t>理比较，带出量比较，经济性比较，应用淬火钢材</w:t>
      </w:r>
      <w:r>
        <w:rPr>
          <w:rFonts w:hint="eastAsia" w:ascii="宋体" w:hAnsi="宋体" w:eastAsia="宋体" w:cs="宋体"/>
          <w:sz w:val="18"/>
          <w:szCs w:val="18"/>
          <w:lang w:eastAsia="zh-CN"/>
        </w:rPr>
        <w:t>范围，淬火安全性</w:t>
      </w:r>
      <w:r>
        <w:rPr>
          <w:rFonts w:hint="eastAsia" w:ascii="宋体" w:hAnsi="宋体" w:eastAsia="宋体" w:cs="宋体"/>
          <w:sz w:val="18"/>
          <w:szCs w:val="18"/>
        </w:rPr>
        <w:t>等等对比，</w:t>
      </w:r>
      <w:r>
        <w:rPr>
          <w:rFonts w:hint="eastAsia" w:ascii="宋体" w:hAnsi="宋体" w:eastAsia="宋体" w:cs="宋体"/>
          <w:sz w:val="18"/>
          <w:szCs w:val="18"/>
          <w:lang w:eastAsia="zh-CN"/>
        </w:rPr>
        <w:t>热处理淬火介质对环境影响比较，热处理淬火介质多因素比较，</w:t>
      </w:r>
      <w:r>
        <w:rPr>
          <w:rFonts w:hint="eastAsia" w:ascii="宋体" w:hAnsi="宋体" w:eastAsia="宋体" w:cs="宋体"/>
          <w:sz w:val="18"/>
          <w:szCs w:val="18"/>
        </w:rPr>
        <w:t>优选出适合当前低碳、环保的热处理淬火介质。</w:t>
      </w:r>
    </w:p>
    <w:p>
      <w:pPr>
        <w:ind w:firstLine="420" w:firstLineChars="200"/>
        <w:jc w:val="left"/>
        <w:rPr>
          <w:rFonts w:hint="eastAsia" w:ascii="宋体" w:hAnsi="宋体" w:eastAsia="宋体" w:cs="宋体"/>
          <w:sz w:val="21"/>
          <w:szCs w:val="21"/>
        </w:rPr>
      </w:pPr>
    </w:p>
    <w:p>
      <w:pPr>
        <w:numPr>
          <w:ilvl w:val="0"/>
          <w:numId w:val="1"/>
        </w:numPr>
        <w:ind w:left="210" w:leftChars="0" w:firstLineChars="0"/>
        <w:jc w:val="left"/>
        <w:rPr>
          <w:rFonts w:ascii="宋体" w:hAnsi="宋体" w:eastAsia="宋体" w:cs="宋体"/>
          <w:b/>
          <w:bCs/>
          <w:sz w:val="21"/>
          <w:szCs w:val="21"/>
        </w:rPr>
      </w:pP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热处理淬火介质</w:t>
      </w:r>
    </w:p>
    <w:p>
      <w:pPr>
        <w:numPr>
          <w:ilvl w:val="0"/>
          <w:numId w:val="0"/>
        </w:numPr>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公司花了大量的时间及金钱研究热处理淬火介质排放时产生的废气种类，得出检测数据，分别于2009年5月-2020年3月对热处理淬火油、PAG水溶性淬火介质，由辽宁省分析科学研究院丹东市环境检测中心站进行数据分析。2023年1月-5月对PVP淬火介质、PEO淬火介质、无机水溶性淬火介质进行数据分析，得出数据如下：</w:t>
      </w:r>
    </w:p>
    <w:p>
      <w:pPr>
        <w:numPr>
          <w:ilvl w:val="0"/>
          <w:numId w:val="0"/>
        </w:numPr>
        <w:ind w:firstLine="360" w:firstLineChars="20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热处理淬火介质排放废气检测数据   表一</w:t>
      </w:r>
    </w:p>
    <w:tbl>
      <w:tblPr>
        <w:tblStyle w:val="6"/>
        <w:tblpPr w:leftFromText="180" w:rightFromText="180" w:vertAnchor="text" w:horzAnchor="page" w:tblpX="1604" w:tblpY="123"/>
        <w:tblOverlap w:val="never"/>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042"/>
        <w:gridCol w:w="1068"/>
        <w:gridCol w:w="1308"/>
        <w:gridCol w:w="1284"/>
        <w:gridCol w:w="129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序号</w:t>
            </w:r>
          </w:p>
        </w:tc>
        <w:tc>
          <w:tcPr>
            <w:tcW w:w="2042"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气体排放物</w:t>
            </w:r>
          </w:p>
        </w:tc>
        <w:tc>
          <w:tcPr>
            <w:tcW w:w="1068"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热处理</w:t>
            </w:r>
          </w:p>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淬火油</w:t>
            </w:r>
          </w:p>
        </w:tc>
        <w:tc>
          <w:tcPr>
            <w:tcW w:w="1308"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PAG水溶性淬火介质</w:t>
            </w:r>
          </w:p>
        </w:tc>
        <w:tc>
          <w:tcPr>
            <w:tcW w:w="1284"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PVP水溶性淬火介质</w:t>
            </w:r>
          </w:p>
        </w:tc>
        <w:tc>
          <w:tcPr>
            <w:tcW w:w="1296"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PEO水溶性淬火介质</w:t>
            </w:r>
          </w:p>
        </w:tc>
        <w:tc>
          <w:tcPr>
            <w:tcW w:w="1392" w:type="dxa"/>
            <w:tcBorders>
              <w:righ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水溶性无机水溶性淬火介质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w:t>
            </w:r>
          </w:p>
        </w:tc>
        <w:tc>
          <w:tcPr>
            <w:tcW w:w="2042"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氮气</w:t>
            </w:r>
          </w:p>
        </w:tc>
        <w:tc>
          <w:tcPr>
            <w:tcW w:w="1068"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79.13</w:t>
            </w:r>
          </w:p>
        </w:tc>
        <w:tc>
          <w:tcPr>
            <w:tcW w:w="1308"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78.05</w:t>
            </w:r>
          </w:p>
        </w:tc>
        <w:tc>
          <w:tcPr>
            <w:tcW w:w="1284"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96.3</w:t>
            </w:r>
          </w:p>
        </w:tc>
        <w:tc>
          <w:tcPr>
            <w:tcW w:w="1296" w:type="dxa"/>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97.6</w:t>
            </w:r>
          </w:p>
        </w:tc>
        <w:tc>
          <w:tcPr>
            <w:tcW w:w="1392" w:type="dxa"/>
            <w:tcBorders>
              <w:righ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一氧化碳</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0.10</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二氧化碳</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1.20</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4</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二氧化硫</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（76）</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5</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乙烯</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0.13</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0.25</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6</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丙烯</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0.09</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0.11</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7</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1-丁烯</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0.96</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8</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甲烷</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0.17</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9</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丙烷</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1.13</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10</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正丁烷</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0.04</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11</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异丁烷</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0.02</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0</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2" w:type="dxa"/>
            <w:tcBorders>
              <w:left w:val="nil"/>
            </w:tcBorders>
            <w:vAlign w:val="center"/>
          </w:tcPr>
          <w:p>
            <w:pPr>
              <w:numPr>
                <w:ilvl w:val="0"/>
                <w:numId w:val="0"/>
              </w:numPr>
              <w:jc w:val="center"/>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12</w:t>
            </w:r>
          </w:p>
        </w:tc>
        <w:tc>
          <w:tcPr>
            <w:tcW w:w="2042"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苯并芘，mg/L</w:t>
            </w:r>
          </w:p>
        </w:tc>
        <w:tc>
          <w:tcPr>
            <w:tcW w:w="106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1-20</w:t>
            </w:r>
          </w:p>
        </w:tc>
        <w:tc>
          <w:tcPr>
            <w:tcW w:w="1308"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未检出</w:t>
            </w:r>
          </w:p>
        </w:tc>
        <w:tc>
          <w:tcPr>
            <w:tcW w:w="1284"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296" w:type="dxa"/>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c>
          <w:tcPr>
            <w:tcW w:w="1392" w:type="dxa"/>
            <w:tcBorders>
              <w:right w:val="nil"/>
            </w:tcBorders>
            <w:vAlign w:val="center"/>
          </w:tcPr>
          <w:p>
            <w:pPr>
              <w:numPr>
                <w:ilvl w:val="0"/>
                <w:numId w:val="0"/>
              </w:numPr>
              <w:ind w:left="0" w:leftChars="0" w:firstLine="0" w:firstLineChars="0"/>
              <w:jc w:val="center"/>
              <w:rPr>
                <w:rFonts w:hint="default" w:ascii="宋体" w:hAnsi="宋体" w:eastAsia="宋体" w:cs="宋体"/>
                <w:kern w:val="2"/>
                <w:sz w:val="18"/>
                <w:szCs w:val="18"/>
                <w:vertAlign w:val="baseline"/>
                <w:lang w:val="en-US" w:eastAsia="zh-CN" w:bidi="ar-SA"/>
              </w:rPr>
            </w:pPr>
            <w:r>
              <w:rPr>
                <w:rFonts w:hint="eastAsia" w:ascii="宋体" w:hAnsi="宋体" w:eastAsia="宋体" w:cs="宋体"/>
                <w:sz w:val="18"/>
                <w:szCs w:val="18"/>
                <w:vertAlign w:val="baseline"/>
                <w:lang w:val="en-US" w:eastAsia="zh-CN"/>
              </w:rPr>
              <w:t>-</w:t>
            </w:r>
          </w:p>
        </w:tc>
      </w:tr>
    </w:tbl>
    <w:p>
      <w:pPr>
        <w:numPr>
          <w:ilvl w:val="0"/>
          <w:numId w:val="0"/>
        </w:numPr>
        <w:ind w:firstLine="360" w:firstLineChars="200"/>
        <w:jc w:val="lef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注1:测试单位:辽宁省分析研究院、丹东市环境监测中心站</w:t>
      </w:r>
    </w:p>
    <w:p>
      <w:pPr>
        <w:numPr>
          <w:ilvl w:val="0"/>
          <w:numId w:val="0"/>
        </w:numPr>
        <w:ind w:firstLine="360" w:firstLineChars="200"/>
        <w:jc w:val="lef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注2:测试手段:气相色谱热导检测器GCTCD气体分析法、崂应3022型烟气综合分析仪。</w:t>
      </w:r>
    </w:p>
    <w:p>
      <w:pPr>
        <w:numPr>
          <w:ilvl w:val="0"/>
          <w:numId w:val="0"/>
        </w:numPr>
        <w:ind w:firstLine="360" w:firstLineChars="200"/>
        <w:jc w:val="lef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注3:(</w:t>
      </w:r>
      <w:r>
        <w:rPr>
          <w:rFonts w:hint="eastAsia" w:ascii="宋体" w:hAnsi="宋体" w:eastAsia="宋体" w:cs="宋体"/>
          <w:sz w:val="18"/>
          <w:szCs w:val="18"/>
          <w:lang w:val="en-US" w:eastAsia="zh-CN"/>
        </w:rPr>
        <w:t xml:space="preserve">   </w:t>
      </w:r>
      <w:r>
        <w:rPr>
          <w:rFonts w:hint="default" w:ascii="宋体" w:hAnsi="宋体" w:eastAsia="宋体" w:cs="宋体"/>
          <w:sz w:val="18"/>
          <w:szCs w:val="18"/>
          <w:lang w:val="en-US" w:eastAsia="zh-CN"/>
        </w:rPr>
        <w:t>)中数据采用崂应3022型烟气综合分析仪测得，单位:mg/㎡;其余均为体积分数，由GCTCD气体分析法测得。</w:t>
      </w:r>
    </w:p>
    <w:p>
      <w:pPr>
        <w:numPr>
          <w:ilvl w:val="0"/>
          <w:numId w:val="0"/>
        </w:numPr>
        <w:ind w:firstLine="360" w:firstLineChars="200"/>
        <w:jc w:val="left"/>
        <w:rPr>
          <w:rFonts w:hint="default" w:ascii="宋体" w:hAnsi="宋体" w:eastAsia="宋体" w:cs="宋体"/>
          <w:sz w:val="18"/>
          <w:szCs w:val="18"/>
          <w:lang w:val="en-US" w:eastAsia="zh-CN"/>
        </w:rPr>
      </w:pPr>
      <w:r>
        <w:rPr>
          <w:rFonts w:hint="default" w:ascii="宋体" w:hAnsi="宋体" w:eastAsia="宋体" w:cs="宋体"/>
          <w:sz w:val="18"/>
          <w:szCs w:val="18"/>
          <w:lang w:val="en-US" w:eastAsia="zh-CN"/>
        </w:rPr>
        <w:t>注4</w:t>
      </w:r>
      <w:r>
        <w:rPr>
          <w:rFonts w:hint="eastAsia" w:ascii="宋体" w:hAnsi="宋体" w:eastAsia="宋体" w:cs="宋体"/>
          <w:sz w:val="18"/>
          <w:szCs w:val="18"/>
          <w:lang w:val="en-US" w:eastAsia="zh-CN"/>
        </w:rPr>
        <w:t>：</w:t>
      </w:r>
      <w:r>
        <w:rPr>
          <w:rFonts w:hint="default" w:ascii="宋体" w:hAnsi="宋体" w:eastAsia="宋体" w:cs="宋体"/>
          <w:sz w:val="18"/>
          <w:szCs w:val="18"/>
          <w:lang w:val="en-US" w:eastAsia="zh-CN"/>
        </w:rPr>
        <w:t>淬火油样品取自丹东市宏升热处理有限公司，PAG水溶性淬火介质样品取自辽宁五一八公司及辽宁海明化学品有限公司。</w:t>
      </w:r>
    </w:p>
    <w:p>
      <w:pPr>
        <w:numPr>
          <w:ilvl w:val="0"/>
          <w:numId w:val="0"/>
        </w:numPr>
        <w:ind w:firstLine="360" w:firstLineChars="20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注5：PVP水溶性淬火介质、PEO水溶性淬火介质、无机水溶性淬火介质，由上海微普检测科技集团股份有限公司检测。</w:t>
      </w:r>
    </w:p>
    <w:p>
      <w:pPr>
        <w:numPr>
          <w:ilvl w:val="0"/>
          <w:numId w:val="0"/>
        </w:numPr>
        <w:ind w:firstLine="360" w:firstLineChars="200"/>
        <w:jc w:val="left"/>
        <w:rPr>
          <w:rFonts w:hint="default" w:ascii="宋体" w:hAnsi="宋体" w:eastAsia="宋体" w:cs="宋体"/>
          <w:sz w:val="18"/>
          <w:szCs w:val="18"/>
          <w:lang w:val="en-US" w:eastAsia="zh-CN"/>
        </w:rPr>
      </w:pPr>
    </w:p>
    <w:p>
      <w:pPr>
        <w:jc w:val="left"/>
        <w:rPr>
          <w:rFonts w:ascii="宋体" w:hAnsi="宋体" w:eastAsia="宋体" w:cs="宋体"/>
          <w:b/>
          <w:bCs/>
          <w:sz w:val="21"/>
          <w:szCs w:val="21"/>
        </w:rPr>
      </w:pPr>
      <w:r>
        <w:rPr>
          <w:rFonts w:hint="eastAsia" w:ascii="宋体" w:hAnsi="宋体" w:eastAsia="宋体" w:cs="宋体"/>
          <w:b/>
          <w:bCs/>
          <w:sz w:val="21"/>
          <w:szCs w:val="21"/>
        </w:rPr>
        <w:t>1.1热处理淬火油</w:t>
      </w:r>
    </w:p>
    <w:p>
      <w:pPr>
        <w:ind w:firstLine="420" w:firstLineChars="200"/>
        <w:jc w:val="left"/>
        <w:rPr>
          <w:rFonts w:ascii="宋体" w:hAnsi="宋体" w:eastAsia="宋体" w:cs="宋体"/>
          <w:sz w:val="21"/>
          <w:szCs w:val="21"/>
        </w:rPr>
      </w:pPr>
      <w:r>
        <w:rPr>
          <w:rFonts w:hint="eastAsia" w:ascii="宋体" w:hAnsi="宋体" w:eastAsia="宋体" w:cs="宋体"/>
          <w:sz w:val="21"/>
          <w:szCs w:val="21"/>
        </w:rPr>
        <w:t>现在市面上使用的热处理淬火油采用矿物油，</w:t>
      </w:r>
      <w:r>
        <w:rPr>
          <w:rFonts w:hint="eastAsia" w:ascii="宋体" w:hAnsi="宋体" w:eastAsia="宋体" w:cs="宋体"/>
          <w:sz w:val="21"/>
          <w:szCs w:val="21"/>
          <w:lang w:eastAsia="zh-CN"/>
        </w:rPr>
        <w:t>添</w:t>
      </w:r>
      <w:r>
        <w:rPr>
          <w:rFonts w:hint="eastAsia" w:ascii="宋体" w:hAnsi="宋体" w:eastAsia="宋体" w:cs="宋体"/>
          <w:sz w:val="21"/>
          <w:szCs w:val="21"/>
        </w:rPr>
        <w:t>加各种添加剂，分为普通、快速、超速、真空。等温分级等，应用于各种钢材、工件的热处理。</w:t>
      </w:r>
    </w:p>
    <w:p>
      <w:pPr>
        <w:ind w:firstLine="420" w:firstLineChars="200"/>
        <w:jc w:val="left"/>
        <w:rPr>
          <w:rFonts w:ascii="宋体" w:hAnsi="宋体" w:eastAsia="宋体" w:cs="宋体"/>
          <w:sz w:val="21"/>
          <w:szCs w:val="21"/>
        </w:rPr>
      </w:pPr>
      <w:r>
        <w:rPr>
          <w:rFonts w:hint="eastAsia" w:ascii="宋体" w:hAnsi="宋体" w:eastAsia="宋体" w:cs="宋体"/>
          <w:sz w:val="21"/>
          <w:szCs w:val="21"/>
        </w:rPr>
        <w:t>这些矿物油实际上是石油根据馏分不同经过高温裂解汽油、柴油等后形成不同粘度的润滑油基础油。石油的化学成分为烃类物质：C-H、N、P、S、O（石蜡基，环烷基、中间基），热处理淬火油也是由烃类物质碳烃组成，会有少量氮磷硫氧等，基础油来源不同，分子量不好确定，但通常以烃类、碳氢为主。</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mg/cm</w:t>
      </w:r>
      <w:r>
        <w:rPr>
          <w:rFonts w:hint="eastAsia" w:ascii="宋体" w:hAnsi="宋体" w:eastAsia="宋体" w:cs="宋体"/>
          <w:sz w:val="21"/>
          <w:szCs w:val="21"/>
          <w:vertAlign w:val="superscript"/>
          <w:lang w:val="en-US" w:eastAsia="zh-CN"/>
        </w:rPr>
        <w:t>3</w:t>
      </w:r>
      <w:r>
        <w:rPr>
          <w:rFonts w:hint="eastAsia" w:ascii="宋体" w:hAnsi="宋体" w:eastAsia="宋体" w:cs="宋体"/>
          <w:sz w:val="21"/>
          <w:szCs w:val="21"/>
        </w:rPr>
        <w:t>淬火产生的油烟（废气）经辽宁省分析科学研究院检测产生了二氧化碳为1.2，同时含有苯并芘、一氧化碳、二氧化硫、乙烯、丙烯、丁烯等有害气体，</w:t>
      </w:r>
      <w:r>
        <w:rPr>
          <w:rFonts w:hint="eastAsia" w:ascii="宋体" w:hAnsi="宋体" w:eastAsia="宋体" w:cs="宋体"/>
          <w:sz w:val="21"/>
          <w:szCs w:val="21"/>
          <w:lang w:eastAsia="zh-CN"/>
        </w:rPr>
        <w:t>见表一数据。</w:t>
      </w:r>
      <w:r>
        <w:rPr>
          <w:rFonts w:hint="eastAsia" w:ascii="宋体" w:hAnsi="宋体" w:eastAsia="宋体" w:cs="宋体"/>
          <w:sz w:val="21"/>
          <w:szCs w:val="21"/>
        </w:rPr>
        <w:t>是严重高碳污染物质。</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rPr>
        <w:t>产生油烟、粉尘，对环境操作者都有</w:t>
      </w:r>
      <w:r>
        <w:rPr>
          <w:rFonts w:hint="eastAsia" w:ascii="宋体" w:hAnsi="宋体" w:eastAsia="宋体" w:cs="宋体"/>
          <w:sz w:val="21"/>
          <w:szCs w:val="21"/>
          <w:lang w:eastAsia="zh-CN"/>
        </w:rPr>
        <w:t>影响</w:t>
      </w:r>
      <w:r>
        <w:rPr>
          <w:rFonts w:hint="eastAsia" w:ascii="宋体" w:hAnsi="宋体" w:eastAsia="宋体" w:cs="宋体"/>
          <w:sz w:val="21"/>
          <w:szCs w:val="21"/>
        </w:rPr>
        <w:t>，容易产生火灾</w:t>
      </w:r>
      <w:r>
        <w:rPr>
          <w:rFonts w:hint="eastAsia" w:ascii="宋体" w:hAnsi="宋体" w:eastAsia="宋体" w:cs="宋体"/>
          <w:sz w:val="21"/>
          <w:szCs w:val="21"/>
          <w:lang w:eastAsia="zh-CN"/>
        </w:rPr>
        <w:t>。</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rPr>
        <w:t>热处理操作维护上相对简单随意，皮实</w:t>
      </w:r>
      <w:r>
        <w:rPr>
          <w:rFonts w:hint="eastAsia" w:ascii="宋体" w:hAnsi="宋体" w:eastAsia="宋体" w:cs="宋体"/>
          <w:sz w:val="21"/>
          <w:szCs w:val="21"/>
          <w:lang w:eastAsia="zh-CN"/>
        </w:rPr>
        <w:t>。</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rPr>
        <w:t>后续废油取出另行处理</w:t>
      </w:r>
      <w:r>
        <w:rPr>
          <w:rFonts w:hint="eastAsia" w:ascii="宋体" w:hAnsi="宋体" w:eastAsia="宋体" w:cs="宋体"/>
          <w:sz w:val="21"/>
          <w:szCs w:val="21"/>
          <w:lang w:eastAsia="zh-CN"/>
        </w:rPr>
        <w:t>。</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rPr>
        <w:t>淬火油的成本相对高</w:t>
      </w:r>
      <w:r>
        <w:rPr>
          <w:rFonts w:hint="eastAsia" w:ascii="宋体" w:hAnsi="宋体" w:eastAsia="宋体" w:cs="宋体"/>
          <w:sz w:val="21"/>
          <w:szCs w:val="21"/>
          <w:lang w:eastAsia="zh-CN"/>
        </w:rPr>
        <w:t>。</w:t>
      </w:r>
    </w:p>
    <w:p>
      <w:pPr>
        <w:numPr>
          <w:ilvl w:val="0"/>
          <w:numId w:val="2"/>
        </w:numPr>
        <w:ind w:left="840" w:leftChars="0" w:hanging="420" w:firstLineChars="0"/>
        <w:jc w:val="left"/>
        <w:rPr>
          <w:rFonts w:hint="eastAsia" w:ascii="宋体" w:hAnsi="宋体" w:eastAsia="宋体" w:cs="宋体"/>
          <w:sz w:val="21"/>
          <w:szCs w:val="21"/>
        </w:rPr>
      </w:pPr>
      <w:r>
        <w:rPr>
          <w:rFonts w:hint="eastAsia" w:ascii="宋体" w:hAnsi="宋体" w:eastAsia="宋体" w:cs="宋体"/>
          <w:sz w:val="21"/>
          <w:szCs w:val="21"/>
        </w:rPr>
        <w:t>淬火品种非常广，中低碳钢、中低合金钢、模具钢、结构钢，适合范围很广。</w:t>
      </w:r>
    </w:p>
    <w:p>
      <w:pPr>
        <w:numPr>
          <w:ilvl w:val="0"/>
          <w:numId w:val="0"/>
        </w:numPr>
        <w:ind w:firstLine="420" w:firstLineChars="200"/>
        <w:jc w:val="left"/>
        <w:rPr>
          <w:rFonts w:hint="eastAsia" w:ascii="宋体" w:hAnsi="宋体" w:eastAsia="宋体" w:cs="宋体"/>
          <w:sz w:val="21"/>
          <w:szCs w:val="21"/>
        </w:rPr>
      </w:pPr>
      <w:r>
        <w:rPr>
          <w:rFonts w:hint="eastAsia" w:ascii="宋体" w:hAnsi="宋体" w:eastAsia="宋体" w:cs="宋体"/>
          <w:sz w:val="21"/>
          <w:szCs w:val="21"/>
        </w:rPr>
        <w:t>当前低碳减排大势下，建议对模具钢、高速钢、结构钢等热处理要求极强，采用水溶性淬火介质淬火风险的品种，采用热处理淬火油。</w:t>
      </w:r>
    </w:p>
    <w:p>
      <w:pPr>
        <w:ind w:firstLine="420" w:firstLineChars="200"/>
        <w:jc w:val="left"/>
        <w:rPr>
          <w:rFonts w:hint="eastAsia" w:ascii="宋体" w:hAnsi="宋体" w:eastAsia="宋体" w:cs="宋体"/>
          <w:sz w:val="21"/>
          <w:szCs w:val="21"/>
        </w:rPr>
      </w:pPr>
    </w:p>
    <w:p>
      <w:pPr>
        <w:jc w:val="left"/>
        <w:rPr>
          <w:rFonts w:ascii="宋体" w:hAnsi="宋体" w:eastAsia="宋体" w:cs="宋体"/>
          <w:b/>
          <w:bCs/>
          <w:sz w:val="21"/>
          <w:szCs w:val="21"/>
        </w:rPr>
      </w:pPr>
      <w:r>
        <w:rPr>
          <w:rFonts w:hint="eastAsia" w:ascii="宋体" w:hAnsi="宋体" w:eastAsia="宋体" w:cs="宋体"/>
          <w:b/>
          <w:bCs/>
          <w:sz w:val="21"/>
          <w:szCs w:val="21"/>
        </w:rPr>
        <w:t>1.2 PAG类水溶性淬火介质</w:t>
      </w:r>
    </w:p>
    <w:p>
      <w:pPr>
        <w:ind w:firstLine="420" w:firstLineChars="200"/>
        <w:jc w:val="left"/>
        <w:rPr>
          <w:rFonts w:ascii="宋体" w:hAnsi="宋体" w:eastAsia="宋体" w:cs="宋体"/>
          <w:sz w:val="21"/>
          <w:szCs w:val="21"/>
        </w:rPr>
      </w:pPr>
      <w:r>
        <w:rPr>
          <w:rFonts w:hint="eastAsia" w:ascii="宋体" w:hAnsi="宋体" w:eastAsia="宋体" w:cs="宋体"/>
          <w:sz w:val="21"/>
          <w:szCs w:val="21"/>
        </w:rPr>
        <w:t>学名：聚醚，聚氧乙烯-聚氧丙烯共聚物，又称聚乙二醇醚、聚烷撑二醚，PAG类水溶性淬火介质采用分子量在5万-8万之间，无毒、无烟、不燃烧，冷却速度介于油与水之间，冷却能力在一定范围内，浓度变化进行调整，无火灾隐患，工作环境清洁卫生，无油腻感，对环境友好，可生物降解。</w:t>
      </w:r>
    </w:p>
    <w:p>
      <w:pPr>
        <w:ind w:firstLine="420" w:firstLineChars="200"/>
        <w:jc w:val="left"/>
        <w:rPr>
          <w:rFonts w:ascii="宋体" w:hAnsi="宋体" w:eastAsia="宋体" w:cs="宋体"/>
          <w:sz w:val="21"/>
          <w:szCs w:val="21"/>
        </w:rPr>
      </w:pPr>
      <w:r>
        <w:rPr>
          <w:rFonts w:hint="eastAsia" w:ascii="宋体" w:hAnsi="宋体" w:eastAsia="宋体" w:cs="宋体"/>
          <w:sz w:val="21"/>
          <w:szCs w:val="21"/>
        </w:rPr>
        <w:t>2011年由辽宁省分析研究  气相色谱热导检测器，CCTCD气体分析法，检测数据如下：</w:t>
      </w:r>
    </w:p>
    <w:p>
      <w:pPr>
        <w:jc w:val="left"/>
        <w:rPr>
          <w:rFonts w:ascii="宋体" w:hAnsi="宋体" w:eastAsia="宋体" w:cs="宋体"/>
          <w:sz w:val="21"/>
          <w:szCs w:val="21"/>
        </w:rPr>
      </w:pPr>
      <w:r>
        <w:rPr>
          <w:rFonts w:hint="eastAsia" w:ascii="宋体" w:hAnsi="宋体" w:eastAsia="宋体" w:cs="宋体"/>
          <w:sz w:val="21"/>
          <w:szCs w:val="21"/>
        </w:rPr>
        <w:t>淬火后气体排放物为：</w:t>
      </w:r>
    </w:p>
    <w:p>
      <w:pPr>
        <w:jc w:val="left"/>
        <w:rPr>
          <w:rFonts w:ascii="宋体" w:hAnsi="宋体" w:eastAsia="宋体" w:cs="宋体"/>
          <w:sz w:val="21"/>
          <w:szCs w:val="21"/>
        </w:rPr>
      </w:pPr>
      <w:r>
        <w:rPr>
          <w:rFonts w:hint="eastAsia" w:ascii="宋体" w:hAnsi="宋体" w:eastAsia="宋体" w:cs="宋体"/>
          <w:sz w:val="21"/>
          <w:szCs w:val="21"/>
        </w:rPr>
        <w:t>氧气：1.20790，氮气：78.05氢气：1.29</w:t>
      </w:r>
    </w:p>
    <w:p>
      <w:pPr>
        <w:jc w:val="left"/>
        <w:rPr>
          <w:rFonts w:hint="eastAsia" w:ascii="宋体" w:hAnsi="宋体" w:eastAsia="宋体" w:cs="宋体"/>
          <w:sz w:val="21"/>
          <w:szCs w:val="21"/>
          <w:lang w:eastAsia="zh-CN"/>
        </w:rPr>
      </w:pPr>
      <w:r>
        <w:rPr>
          <w:rFonts w:hint="eastAsia" w:ascii="宋体" w:hAnsi="宋体" w:eastAsia="宋体" w:cs="宋体"/>
          <w:sz w:val="21"/>
          <w:szCs w:val="21"/>
        </w:rPr>
        <w:t>一氧化碳：未检出 二氧化碳：未检出乙烯：0.25丙烯:0.11丙烷:1.13</w:t>
      </w:r>
      <w:r>
        <w:rPr>
          <w:rFonts w:hint="eastAsia" w:ascii="宋体" w:hAnsi="宋体" w:eastAsia="宋体" w:cs="宋体"/>
          <w:sz w:val="21"/>
          <w:szCs w:val="21"/>
          <w:lang w:eastAsia="zh-CN"/>
        </w:rPr>
        <w:t>（见表一数据）</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没有一氧化碳、二氧化碳排出</w:t>
      </w:r>
      <w:r>
        <w:rPr>
          <w:rFonts w:hint="eastAsia" w:ascii="宋体" w:hAnsi="宋体" w:eastAsia="宋体" w:cs="宋体"/>
          <w:sz w:val="21"/>
          <w:szCs w:val="21"/>
          <w:lang w:eastAsia="zh-CN"/>
        </w:rPr>
        <w:t>，</w:t>
      </w:r>
      <w:r>
        <w:rPr>
          <w:rFonts w:hint="eastAsia" w:ascii="宋体" w:hAnsi="宋体" w:eastAsia="宋体" w:cs="宋体"/>
          <w:sz w:val="21"/>
          <w:szCs w:val="21"/>
        </w:rPr>
        <w:t>说明是低碳或无碳介质。</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属于水溶性介质稀释使用（5-10%浓度）对环境及操作者没有危害。</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操作时，相对油来说，需要调整浓度，需检测、搅拌、跟踪服务。</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后续废液处理：达到一定年限，5年以</w:t>
      </w:r>
      <w:r>
        <w:rPr>
          <w:rFonts w:hint="eastAsia" w:ascii="宋体" w:hAnsi="宋体" w:eastAsia="宋体" w:cs="宋体"/>
          <w:sz w:val="21"/>
          <w:szCs w:val="21"/>
          <w:lang w:eastAsia="zh-CN"/>
        </w:rPr>
        <w:t>上</w:t>
      </w:r>
      <w:r>
        <w:rPr>
          <w:rFonts w:hint="eastAsia" w:ascii="宋体" w:hAnsi="宋体" w:eastAsia="宋体" w:cs="宋体"/>
          <w:sz w:val="21"/>
          <w:szCs w:val="21"/>
        </w:rPr>
        <w:t>，需转入</w:t>
      </w:r>
      <w:r>
        <w:rPr>
          <w:rFonts w:hint="eastAsia" w:ascii="宋体" w:hAnsi="宋体" w:eastAsia="宋体" w:cs="宋体"/>
          <w:sz w:val="21"/>
          <w:szCs w:val="21"/>
          <w:lang w:eastAsia="zh-CN"/>
        </w:rPr>
        <w:t>专业</w:t>
      </w:r>
      <w:r>
        <w:rPr>
          <w:rFonts w:hint="eastAsia" w:ascii="宋体" w:hAnsi="宋体" w:eastAsia="宋体" w:cs="宋体"/>
          <w:sz w:val="21"/>
          <w:szCs w:val="21"/>
        </w:rPr>
        <w:t>废水处理</w:t>
      </w:r>
      <w:r>
        <w:rPr>
          <w:rFonts w:hint="eastAsia" w:ascii="宋体" w:hAnsi="宋体" w:eastAsia="宋体" w:cs="宋体"/>
          <w:sz w:val="21"/>
          <w:szCs w:val="21"/>
          <w:lang w:eastAsia="zh-CN"/>
        </w:rPr>
        <w:t>。</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带出量比较：与油相比带出较少</w:t>
      </w:r>
      <w:r>
        <w:rPr>
          <w:rFonts w:hint="eastAsia" w:ascii="宋体" w:hAnsi="宋体" w:eastAsia="宋体" w:cs="宋体"/>
          <w:sz w:val="21"/>
          <w:szCs w:val="21"/>
          <w:lang w:eastAsia="zh-CN"/>
        </w:rPr>
        <w:t>，无无机介质比较带出较多。</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经济性：稀释使用，一次性投入成本是油的五分之一左右。</w:t>
      </w:r>
    </w:p>
    <w:p>
      <w:pPr>
        <w:numPr>
          <w:ilvl w:val="0"/>
          <w:numId w:val="2"/>
        </w:numPr>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应用淬火钢种：也是在上世纪80-90年代引入中国的热处理行业，逐年增加，中低碳钢、中低合金钢，广泛应用于汽车零部件、石油机械、地铁、航空航天、国防军工、航母，潜水艇、工业机器人等。</w:t>
      </w:r>
    </w:p>
    <w:p>
      <w:pPr>
        <w:jc w:val="left"/>
        <w:rPr>
          <w:rFonts w:hint="eastAsia" w:ascii="宋体" w:hAnsi="宋体" w:eastAsia="宋体" w:cs="宋体"/>
          <w:b/>
          <w:bCs/>
          <w:sz w:val="21"/>
          <w:szCs w:val="21"/>
        </w:rPr>
      </w:pPr>
    </w:p>
    <w:p>
      <w:pPr>
        <w:jc w:val="left"/>
        <w:rPr>
          <w:rFonts w:ascii="宋体" w:hAnsi="宋体" w:eastAsia="宋体" w:cs="宋体"/>
          <w:b/>
          <w:bCs/>
          <w:sz w:val="21"/>
          <w:szCs w:val="21"/>
        </w:rPr>
      </w:pPr>
      <w:r>
        <w:rPr>
          <w:rFonts w:hint="eastAsia" w:ascii="宋体" w:hAnsi="宋体" w:eastAsia="宋体" w:cs="宋体"/>
          <w:b/>
          <w:bCs/>
          <w:sz w:val="21"/>
          <w:szCs w:val="21"/>
        </w:rPr>
        <w:t>1.3 PVP类油淬火介质</w:t>
      </w:r>
    </w:p>
    <w:p>
      <w:pPr>
        <w:ind w:firstLine="560"/>
        <w:jc w:val="left"/>
        <w:rPr>
          <w:rFonts w:ascii="宋体" w:hAnsi="宋体" w:eastAsia="宋体" w:cs="宋体"/>
          <w:sz w:val="21"/>
          <w:szCs w:val="21"/>
        </w:rPr>
      </w:pPr>
      <w:r>
        <w:rPr>
          <w:rFonts w:hint="eastAsia" w:ascii="宋体" w:hAnsi="宋体" w:eastAsia="宋体" w:cs="宋体"/>
          <w:sz w:val="21"/>
          <w:szCs w:val="21"/>
        </w:rPr>
        <w:t>PVP类油淬火介质，主要成分为PVP,学名聚乙烯吡咯烷酮,英文名：polyvinyl pyrrolidone，化学式：(C6H9NO)n熔点：130℃，密度：1.14g/cm</w:t>
      </w:r>
      <w:r>
        <w:rPr>
          <w:rFonts w:hint="eastAsia" w:ascii="宋体" w:hAnsi="宋体" w:eastAsia="宋体" w:cs="宋体"/>
          <w:sz w:val="21"/>
          <w:szCs w:val="21"/>
          <w:vertAlign w:val="superscript"/>
        </w:rPr>
        <w:t>3</w:t>
      </w:r>
      <w:r>
        <w:rPr>
          <w:rFonts w:hint="eastAsia" w:ascii="宋体" w:hAnsi="宋体" w:eastAsia="宋体" w:cs="宋体"/>
          <w:sz w:val="21"/>
          <w:szCs w:val="21"/>
        </w:rPr>
        <w:t>,平均分子量8000-700000，常温常压下稳定，一种水溶性高分子化合物，具有胶体保护作用，具有成膜性，粘结性，吸湿性，广泛应用在医药、食品、化妆品当中。</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淬火时，没有一氧化碳、二氧化碳排出（见</w:t>
      </w:r>
      <w:r>
        <w:rPr>
          <w:rFonts w:hint="eastAsia" w:ascii="宋体" w:hAnsi="宋体" w:eastAsia="宋体" w:cs="宋体"/>
          <w:sz w:val="21"/>
          <w:szCs w:val="21"/>
          <w:lang w:eastAsia="zh-CN"/>
        </w:rPr>
        <w:t>表一</w:t>
      </w:r>
      <w:r>
        <w:rPr>
          <w:rFonts w:hint="eastAsia" w:ascii="宋体" w:hAnsi="宋体" w:eastAsia="宋体" w:cs="宋体"/>
          <w:sz w:val="21"/>
          <w:szCs w:val="21"/>
        </w:rPr>
        <w:t>数据）说明PVP类淬火介质是低碳或无碳排放介质。</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由于PVP能够广泛应用于医药、食品、化妆品中，可以推断其对环境操作者无危害，可以放心使用，大力推广。</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操作时，需调整浓度、搅拌，需检测，跟踪服务。</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后续废液处理：达到一定年限之后（5年）转入废水（污水）处理。</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带出量比较：与油相比较少，与无机介质比相对较多。</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ascii="宋体" w:hAnsi="宋体" w:eastAsia="宋体" w:cs="宋体"/>
          <w:sz w:val="21"/>
          <w:szCs w:val="21"/>
        </w:rPr>
        <w:t>经济性：稀释使用，由于原料成本非常高，在水性介质中，成本是最贵的。</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ascii="宋体" w:hAnsi="宋体" w:eastAsia="宋体" w:cs="宋体"/>
          <w:sz w:val="21"/>
          <w:szCs w:val="21"/>
        </w:rPr>
        <w:t>应用淬火品种：由于其淬火曲线中V300类似油的冷速，因此也叫类油介质，适用于高合金钢。例如：Cr12、Cr13、模具钢等</w:t>
      </w:r>
      <w:r>
        <w:rPr>
          <w:rFonts w:hint="eastAsia" w:ascii="宋体" w:hAnsi="宋体" w:eastAsia="宋体" w:cs="宋体"/>
          <w:sz w:val="21"/>
          <w:szCs w:val="21"/>
        </w:rPr>
        <w:t>生产车间不想用淬火油，</w:t>
      </w:r>
      <w:r>
        <w:rPr>
          <w:rFonts w:ascii="宋体" w:hAnsi="宋体" w:eastAsia="宋体" w:cs="宋体"/>
          <w:sz w:val="21"/>
          <w:szCs w:val="21"/>
        </w:rPr>
        <w:t>采用PAG介质相对风险大的情况</w:t>
      </w:r>
      <w:r>
        <w:rPr>
          <w:rFonts w:hint="eastAsia" w:ascii="宋体" w:hAnsi="宋体" w:eastAsia="宋体" w:cs="宋体"/>
          <w:sz w:val="21"/>
          <w:szCs w:val="21"/>
        </w:rPr>
        <w:t>。</w:t>
      </w:r>
    </w:p>
    <w:p>
      <w:pPr>
        <w:jc w:val="left"/>
        <w:rPr>
          <w:rFonts w:hint="eastAsia" w:ascii="宋体" w:hAnsi="宋体" w:eastAsia="宋体" w:cs="宋体"/>
          <w:b/>
          <w:bCs/>
          <w:sz w:val="21"/>
          <w:szCs w:val="21"/>
        </w:rPr>
      </w:pPr>
    </w:p>
    <w:p>
      <w:pPr>
        <w:jc w:val="left"/>
        <w:rPr>
          <w:rFonts w:ascii="宋体" w:hAnsi="宋体" w:eastAsia="宋体" w:cs="宋体"/>
          <w:b/>
          <w:bCs/>
          <w:sz w:val="21"/>
          <w:szCs w:val="21"/>
        </w:rPr>
      </w:pPr>
      <w:r>
        <w:rPr>
          <w:rFonts w:hint="eastAsia" w:ascii="宋体" w:hAnsi="宋体" w:eastAsia="宋体" w:cs="宋体"/>
          <w:b/>
          <w:bCs/>
          <w:sz w:val="21"/>
          <w:szCs w:val="21"/>
        </w:rPr>
        <w:t>1.4 PEO类水溶性淬火介质</w:t>
      </w:r>
    </w:p>
    <w:p>
      <w:pPr>
        <w:jc w:val="left"/>
        <w:rPr>
          <w:rFonts w:ascii="宋体" w:hAnsi="宋体" w:eastAsia="宋体" w:cs="宋体"/>
          <w:sz w:val="21"/>
          <w:szCs w:val="21"/>
        </w:rPr>
      </w:pPr>
      <w:r>
        <w:rPr>
          <w:rFonts w:hint="eastAsia" w:ascii="宋体" w:hAnsi="宋体" w:eastAsia="宋体" w:cs="宋体"/>
          <w:sz w:val="21"/>
          <w:szCs w:val="21"/>
        </w:rPr>
        <w:t xml:space="preserve">     PEO类水溶性淬火介质主要成分为聚丙烯酸钠，用在热处理上选择不同分子量，对高铬铸铁、钢球、锤头、衬板   等的淬火，及轴承正火液。</w:t>
      </w:r>
    </w:p>
    <w:p>
      <w:pPr>
        <w:ind w:firstLine="560"/>
        <w:jc w:val="left"/>
        <w:rPr>
          <w:rFonts w:ascii="宋体" w:hAnsi="宋体" w:eastAsia="宋体" w:cs="宋体"/>
          <w:sz w:val="21"/>
          <w:szCs w:val="21"/>
        </w:rPr>
      </w:pPr>
      <w:r>
        <w:rPr>
          <w:rFonts w:hint="eastAsia" w:ascii="宋体" w:hAnsi="宋体" w:eastAsia="宋体" w:cs="宋体"/>
          <w:sz w:val="21"/>
          <w:szCs w:val="21"/>
        </w:rPr>
        <w:t>PEO：英文：Sodium polyacrylate，分子式：(C3H3NaO2)n，密度：1.32kg/m</w:t>
      </w:r>
      <w:r>
        <w:rPr>
          <w:rFonts w:hint="eastAsia" w:ascii="宋体" w:hAnsi="宋体" w:eastAsia="宋体" w:cs="宋体"/>
          <w:sz w:val="21"/>
          <w:szCs w:val="21"/>
          <w:vertAlign w:val="superscript"/>
        </w:rPr>
        <w:t>3</w:t>
      </w:r>
      <w:r>
        <w:rPr>
          <w:rFonts w:hint="eastAsia" w:ascii="宋体" w:hAnsi="宋体" w:eastAsia="宋体" w:cs="宋体"/>
          <w:sz w:val="21"/>
          <w:szCs w:val="21"/>
        </w:rPr>
        <w:t>,分子量3000-5000万</w:t>
      </w:r>
    </w:p>
    <w:p>
      <w:pPr>
        <w:ind w:firstLine="560"/>
        <w:jc w:val="left"/>
        <w:rPr>
          <w:rFonts w:ascii="宋体" w:hAnsi="宋体" w:eastAsia="宋体" w:cs="宋体"/>
          <w:sz w:val="21"/>
          <w:szCs w:val="21"/>
        </w:rPr>
      </w:pPr>
      <w:r>
        <w:rPr>
          <w:rFonts w:hint="eastAsia" w:ascii="宋体" w:hAnsi="宋体" w:eastAsia="宋体" w:cs="宋体"/>
          <w:sz w:val="21"/>
          <w:szCs w:val="21"/>
        </w:rPr>
        <w:t>毒性：LD50&gt;10g/kg(小鼠，经口)。亚急性试验：大鼠0.5g/kg/日以下，6个月无异常。说明产品毒性很低，基本没有。</w:t>
      </w:r>
    </w:p>
    <w:p>
      <w:pPr>
        <w:ind w:firstLine="560"/>
        <w:jc w:val="left"/>
        <w:rPr>
          <w:rFonts w:ascii="宋体" w:hAnsi="宋体" w:eastAsia="宋体" w:cs="宋体"/>
          <w:sz w:val="21"/>
          <w:szCs w:val="21"/>
        </w:rPr>
      </w:pPr>
      <w:r>
        <w:rPr>
          <w:rFonts w:hint="eastAsia" w:ascii="宋体" w:hAnsi="宋体" w:eastAsia="宋体" w:cs="宋体"/>
          <w:sz w:val="21"/>
          <w:szCs w:val="21"/>
        </w:rPr>
        <w:t>广泛应用于食品（面粉中）增稠剂、化妆品、涂料、水质稳定剂、钻井等。</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淬火时，没有一氧化碳、二氧化碳排出（见</w:t>
      </w:r>
      <w:r>
        <w:rPr>
          <w:rFonts w:hint="eastAsia" w:ascii="宋体" w:hAnsi="宋体" w:eastAsia="宋体" w:cs="宋体"/>
          <w:sz w:val="21"/>
          <w:szCs w:val="21"/>
          <w:lang w:eastAsia="zh-CN"/>
        </w:rPr>
        <w:t>表一</w:t>
      </w:r>
      <w:r>
        <w:rPr>
          <w:rFonts w:hint="eastAsia" w:ascii="宋体" w:hAnsi="宋体" w:eastAsia="宋体" w:cs="宋体"/>
          <w:sz w:val="21"/>
          <w:szCs w:val="21"/>
        </w:rPr>
        <w:t>数据）说明P</w:t>
      </w:r>
      <w:r>
        <w:rPr>
          <w:rFonts w:hint="eastAsia" w:ascii="宋体" w:hAnsi="宋体" w:eastAsia="宋体" w:cs="宋体"/>
          <w:sz w:val="21"/>
          <w:szCs w:val="21"/>
          <w:lang w:val="en-US" w:eastAsia="zh-CN"/>
        </w:rPr>
        <w:t>PO</w:t>
      </w:r>
      <w:r>
        <w:rPr>
          <w:rFonts w:hint="eastAsia" w:ascii="宋体" w:hAnsi="宋体" w:eastAsia="宋体" w:cs="宋体"/>
          <w:sz w:val="21"/>
          <w:szCs w:val="21"/>
        </w:rPr>
        <w:t>类淬火介质是低碳或无碳排放介质。</w:t>
      </w:r>
    </w:p>
    <w:p>
      <w:pPr>
        <w:numPr>
          <w:ilvl w:val="0"/>
          <w:numId w:val="3"/>
        </w:numPr>
        <w:tabs>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因为PEO本身的无毒无害，因此对环境及操作者影响几乎为零，因此环保性特别好。</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操作上、维护上、检测上相对重要，浓度变化不大，检测方面更要精心。</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带出量方面不多，</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经济性方面：因为其价格低，成本低</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应用淬火钢种相对少，适用于轴承正火、高铬钢材淬火。</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rPr>
        <w:t>因为其环保性、经济性，应大力推广。</w:t>
      </w:r>
    </w:p>
    <w:p>
      <w:pPr>
        <w:tabs>
          <w:tab w:val="left" w:pos="312"/>
        </w:tabs>
        <w:ind w:left="560"/>
        <w:jc w:val="left"/>
        <w:rPr>
          <w:rFonts w:hint="eastAsia" w:ascii="宋体" w:hAnsi="宋体" w:eastAsia="宋体" w:cs="宋体"/>
          <w:sz w:val="21"/>
          <w:szCs w:val="21"/>
        </w:rPr>
      </w:pPr>
    </w:p>
    <w:p>
      <w:pPr>
        <w:jc w:val="left"/>
        <w:rPr>
          <w:rFonts w:ascii="宋体" w:hAnsi="宋体" w:eastAsia="宋体" w:cs="宋体"/>
          <w:b/>
          <w:bCs/>
          <w:sz w:val="21"/>
          <w:szCs w:val="21"/>
        </w:rPr>
      </w:pPr>
      <w:r>
        <w:rPr>
          <w:rFonts w:hint="eastAsia" w:ascii="宋体" w:hAnsi="宋体" w:eastAsia="宋体" w:cs="宋体"/>
          <w:b/>
          <w:bCs/>
          <w:sz w:val="21"/>
          <w:szCs w:val="21"/>
        </w:rPr>
        <w:t>1.5 无机水溶性淬火介质</w:t>
      </w:r>
    </w:p>
    <w:p>
      <w:pPr>
        <w:ind w:firstLine="420" w:firstLineChars="200"/>
        <w:jc w:val="left"/>
        <w:rPr>
          <w:rFonts w:ascii="宋体" w:hAnsi="宋体" w:eastAsia="宋体" w:cs="宋体"/>
          <w:sz w:val="21"/>
          <w:szCs w:val="21"/>
        </w:rPr>
      </w:pPr>
      <w:r>
        <w:rPr>
          <w:rFonts w:hint="eastAsia" w:ascii="宋体" w:hAnsi="宋体" w:eastAsia="宋体" w:cs="宋体"/>
          <w:sz w:val="21"/>
          <w:szCs w:val="21"/>
        </w:rPr>
        <w:t>市面上，近几年热处理工艺材料厂家使用的</w:t>
      </w:r>
      <w:r>
        <w:rPr>
          <w:rFonts w:hint="eastAsia" w:ascii="宋体" w:hAnsi="宋体" w:eastAsia="宋体" w:cs="宋体"/>
          <w:sz w:val="21"/>
          <w:szCs w:val="21"/>
          <w:lang w:eastAsia="zh-CN"/>
        </w:rPr>
        <w:t>无机水溶性淬火介质</w:t>
      </w:r>
      <w:r>
        <w:rPr>
          <w:rFonts w:hint="eastAsia" w:ascii="宋体" w:hAnsi="宋体" w:eastAsia="宋体" w:cs="宋体"/>
          <w:sz w:val="21"/>
          <w:szCs w:val="21"/>
        </w:rPr>
        <w:t>越来越多，成分大概全有碱类、亚硝酸盐、硅酸盐、氯化物、碳酸盐，少量聚合物等，来自日本、德国等。</w:t>
      </w:r>
    </w:p>
    <w:p>
      <w:pPr>
        <w:numPr>
          <w:ilvl w:val="0"/>
          <w:numId w:val="3"/>
        </w:numPr>
        <w:tabs>
          <w:tab w:val="left" w:pos="312"/>
          <w:tab w:val="clear" w:pos="420"/>
        </w:tabs>
        <w:ind w:left="840" w:leftChars="0" w:hanging="420" w:firstLineChars="0"/>
        <w:jc w:val="left"/>
        <w:rPr>
          <w:rFonts w:ascii="宋体" w:hAnsi="宋体" w:eastAsia="宋体" w:cs="宋体"/>
          <w:sz w:val="21"/>
          <w:szCs w:val="21"/>
        </w:rPr>
      </w:pPr>
      <w:r>
        <w:rPr>
          <w:rFonts w:hint="eastAsia" w:ascii="宋体" w:hAnsi="宋体" w:eastAsia="宋体" w:cs="宋体"/>
          <w:sz w:val="21"/>
          <w:szCs w:val="21"/>
          <w:lang w:eastAsia="zh-CN"/>
        </w:rPr>
        <w:t>碳排放对比，通过数据看，</w:t>
      </w:r>
      <w:r>
        <w:rPr>
          <w:rFonts w:hint="eastAsia" w:ascii="宋体" w:hAnsi="宋体" w:eastAsia="宋体" w:cs="宋体"/>
          <w:sz w:val="21"/>
          <w:szCs w:val="21"/>
        </w:rPr>
        <w:t>淬火时，没有一氧化碳、二氧化碳排出（见</w:t>
      </w:r>
      <w:r>
        <w:rPr>
          <w:rFonts w:hint="eastAsia" w:ascii="宋体" w:hAnsi="宋体" w:eastAsia="宋体" w:cs="宋体"/>
          <w:sz w:val="21"/>
          <w:szCs w:val="21"/>
          <w:lang w:eastAsia="zh-CN"/>
        </w:rPr>
        <w:t>表一</w:t>
      </w:r>
      <w:r>
        <w:rPr>
          <w:rFonts w:hint="eastAsia" w:ascii="宋体" w:hAnsi="宋体" w:eastAsia="宋体" w:cs="宋体"/>
          <w:sz w:val="21"/>
          <w:szCs w:val="21"/>
        </w:rPr>
        <w:t>数据）说明PVP类淬火介质是低碳或无碳排放介质。</w:t>
      </w:r>
    </w:p>
    <w:p>
      <w:pPr>
        <w:numPr>
          <w:ilvl w:val="0"/>
          <w:numId w:val="3"/>
        </w:numPr>
        <w:tabs>
          <w:tab w:val="clear" w:pos="420"/>
        </w:tabs>
        <w:ind w:left="840" w:leftChars="0" w:hanging="42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淬火时无毒无烟无污染，无火灾危险，对操作者环境无影响。</w:t>
      </w:r>
    </w:p>
    <w:p>
      <w:pPr>
        <w:numPr>
          <w:ilvl w:val="0"/>
          <w:numId w:val="3"/>
        </w:numPr>
        <w:tabs>
          <w:tab w:val="clear" w:pos="420"/>
        </w:tabs>
        <w:ind w:left="840" w:leftChars="0" w:hanging="42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操作简单，维护、检测都很简单，放置多长时间都不易“发臭”，可以不用搅拌。</w:t>
      </w:r>
    </w:p>
    <w:p>
      <w:pPr>
        <w:numPr>
          <w:ilvl w:val="0"/>
          <w:numId w:val="3"/>
        </w:numPr>
        <w:tabs>
          <w:tab w:val="clear" w:pos="420"/>
        </w:tabs>
        <w:ind w:left="840" w:leftChars="0" w:hanging="42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应用时间长，不存在水性介质老化现象，可以一直用下去，不需要后续处理，是一项非常好的优点。</w:t>
      </w:r>
    </w:p>
    <w:p>
      <w:pPr>
        <w:numPr>
          <w:ilvl w:val="0"/>
          <w:numId w:val="3"/>
        </w:numPr>
        <w:tabs>
          <w:tab w:val="clear" w:pos="420"/>
        </w:tabs>
        <w:ind w:left="840" w:leftChars="0" w:hanging="42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带出量比较，无机水溶性介质由于是碱或盐的水溶液，成膜很薄，因此带出量少，用量省，挥发掉水分，补上就可。</w:t>
      </w:r>
    </w:p>
    <w:p>
      <w:pPr>
        <w:numPr>
          <w:ilvl w:val="0"/>
          <w:numId w:val="3"/>
        </w:numPr>
        <w:tabs>
          <w:tab w:val="clear" w:pos="420"/>
        </w:tabs>
        <w:ind w:left="840" w:leftChars="0" w:hanging="420" w:firstLineChars="0"/>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经济性比较由于成膜薄，用量省，添加量少，因此经济性好。</w:t>
      </w:r>
    </w:p>
    <w:p>
      <w:pPr>
        <w:numPr>
          <w:ilvl w:val="0"/>
          <w:numId w:val="3"/>
        </w:numPr>
        <w:tabs>
          <w:tab w:val="clear" w:pos="420"/>
        </w:tabs>
        <w:ind w:left="840" w:leftChars="0" w:hanging="420" w:firstLineChars="0"/>
        <w:jc w:val="left"/>
        <w:rPr>
          <w:sz w:val="21"/>
          <w:szCs w:val="21"/>
        </w:rPr>
      </w:pPr>
      <w:r>
        <w:rPr>
          <w:rFonts w:hint="eastAsia" w:ascii="宋体" w:hAnsi="宋体" w:eastAsia="宋体" w:cs="宋体"/>
          <w:sz w:val="21"/>
          <w:szCs w:val="21"/>
          <w:lang w:eastAsia="zh-CN"/>
        </w:rPr>
        <w:t>应</w:t>
      </w:r>
      <w:r>
        <w:rPr>
          <w:rFonts w:hint="eastAsia" w:ascii="宋体" w:hAnsi="宋体" w:eastAsia="宋体" w:cs="宋体"/>
          <w:sz w:val="21"/>
          <w:szCs w:val="21"/>
        </w:rPr>
        <w:t>用钢种：</w:t>
      </w:r>
      <w:r>
        <w:rPr>
          <w:rFonts w:hint="eastAsia"/>
          <w:sz w:val="21"/>
          <w:szCs w:val="21"/>
        </w:rPr>
        <w:t>与其他水溶性介质对比，无逆溶点，使用温度0-80℃，而PAG是30-50℃，相比之下温度控制范围宽。</w:t>
      </w:r>
    </w:p>
    <w:p>
      <w:pPr>
        <w:ind w:firstLine="420" w:firstLineChars="200"/>
        <w:jc w:val="left"/>
        <w:rPr>
          <w:rFonts w:hint="eastAsia"/>
          <w:sz w:val="21"/>
          <w:szCs w:val="21"/>
        </w:rPr>
      </w:pPr>
      <w:r>
        <w:rPr>
          <w:rFonts w:hint="eastAsia" w:ascii="宋体" w:hAnsi="宋体" w:eastAsia="宋体" w:cs="宋体"/>
          <w:sz w:val="21"/>
          <w:szCs w:val="21"/>
        </w:rPr>
        <w:t>适用于中大件，</w:t>
      </w:r>
      <w:r>
        <w:rPr>
          <w:rFonts w:hint="eastAsia"/>
          <w:sz w:val="21"/>
          <w:szCs w:val="21"/>
        </w:rPr>
        <w:t>高温冷速比水快，低温冷速与水相当，V300=80-90之间</w:t>
      </w:r>
      <w:r>
        <w:rPr>
          <w:rFonts w:hint="eastAsia" w:ascii="宋体" w:hAnsi="宋体" w:eastAsia="宋体" w:cs="宋体"/>
          <w:sz w:val="21"/>
          <w:szCs w:val="21"/>
        </w:rPr>
        <w:t>平时不易淬透，用水淬有软点，这样的大件，以实验数据为准。适用于中低碳钢、中低合金钢等淬透性不好的品种，例如：35GrMo、27SiMo、40Cr等，平时淬透性不好钢材品种。</w:t>
      </w:r>
    </w:p>
    <w:p>
      <w:pPr>
        <w:ind w:firstLine="420" w:firstLineChars="200"/>
        <w:jc w:val="left"/>
        <w:rPr>
          <w:rFonts w:hint="eastAsia" w:ascii="宋体" w:hAnsi="宋体" w:eastAsia="宋体" w:cs="宋体"/>
          <w:sz w:val="21"/>
          <w:szCs w:val="21"/>
          <w:lang w:val="en-US" w:eastAsia="zh-CN"/>
        </w:rPr>
      </w:pPr>
    </w:p>
    <w:p>
      <w:p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    热处理淬火介质对环境的影响</w:t>
      </w:r>
    </w:p>
    <w:p>
      <w:pPr>
        <w:numPr>
          <w:ilvl w:val="0"/>
          <w:numId w:val="0"/>
        </w:numPr>
        <w:ind w:firstLine="420" w:firstLineChars="200"/>
        <w:jc w:val="left"/>
        <w:rPr>
          <w:rFonts w:hint="eastAsia"/>
          <w:sz w:val="21"/>
          <w:szCs w:val="21"/>
          <w:lang w:val="en-US" w:eastAsia="zh-CN"/>
        </w:rPr>
      </w:pPr>
      <w:r>
        <w:rPr>
          <w:rFonts w:hint="eastAsia"/>
          <w:sz w:val="21"/>
          <w:szCs w:val="21"/>
          <w:lang w:val="en-US" w:eastAsia="zh-CN"/>
        </w:rPr>
        <w:t>我们比较化学物质对环境影响，主要检测指标包括：1.PH值2.酸度3.碱度 4.氮化物5.固体6.化学需氧量（COD）7.生物需氧量（BOD</w:t>
      </w:r>
      <w:r>
        <w:rPr>
          <w:rFonts w:hint="eastAsia"/>
          <w:sz w:val="21"/>
          <w:szCs w:val="21"/>
          <w:vertAlign w:val="subscript"/>
          <w:lang w:val="en-US" w:eastAsia="zh-CN"/>
        </w:rPr>
        <w:t>5</w:t>
      </w:r>
      <w:r>
        <w:rPr>
          <w:rFonts w:hint="eastAsia"/>
          <w:sz w:val="21"/>
          <w:szCs w:val="21"/>
          <w:lang w:val="en-US" w:eastAsia="zh-CN"/>
        </w:rPr>
        <w:t>）8.溶氧（DO）9.氮10.磷11.硫化物12.重金属13.放射性物质14.清洗剂等。</w:t>
      </w:r>
    </w:p>
    <w:p>
      <w:pPr>
        <w:numPr>
          <w:ilvl w:val="0"/>
          <w:numId w:val="0"/>
        </w:numPr>
        <w:ind w:firstLine="560"/>
        <w:jc w:val="left"/>
        <w:rPr>
          <w:rFonts w:hint="eastAsia"/>
          <w:sz w:val="21"/>
          <w:szCs w:val="21"/>
          <w:lang w:val="en-US" w:eastAsia="zh-CN"/>
        </w:rPr>
      </w:pPr>
      <w:r>
        <w:rPr>
          <w:rFonts w:hint="eastAsia"/>
          <w:sz w:val="21"/>
          <w:szCs w:val="21"/>
          <w:lang w:val="en-US" w:eastAsia="zh-CN"/>
        </w:rPr>
        <w:t>我们的热处理淬火介质以下五种属于化学物质的范畴包括有机物、无机物。那么我们主要评价是它们对环境、对水的影响，主要检测指标为化学需氧量（COD）、生化需氧量（BOD</w:t>
      </w:r>
      <w:r>
        <w:rPr>
          <w:rFonts w:hint="eastAsia"/>
          <w:sz w:val="21"/>
          <w:szCs w:val="21"/>
          <w:vertAlign w:val="subscript"/>
          <w:lang w:val="en-US" w:eastAsia="zh-CN"/>
        </w:rPr>
        <w:t>5</w:t>
      </w:r>
      <w:r>
        <w:rPr>
          <w:rFonts w:hint="eastAsia"/>
          <w:sz w:val="21"/>
          <w:szCs w:val="21"/>
          <w:lang w:val="en-US" w:eastAsia="zh-CN"/>
        </w:rPr>
        <w:t>）结果见表：</w:t>
      </w:r>
    </w:p>
    <w:p>
      <w:pPr>
        <w:numPr>
          <w:ilvl w:val="0"/>
          <w:numId w:val="0"/>
        </w:numPr>
        <w:ind w:firstLine="56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热处理淬火介质COD、BOD检测数据</w:t>
      </w:r>
    </w:p>
    <w:tbl>
      <w:tblPr>
        <w:tblStyle w:val="6"/>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2886"/>
        <w:gridCol w:w="2655"/>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5" w:type="dxa"/>
            <w:tcBorders>
              <w:left w:val="nil"/>
            </w:tcBorders>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序号</w:t>
            </w:r>
          </w:p>
        </w:tc>
        <w:tc>
          <w:tcPr>
            <w:tcW w:w="2886" w:type="dxa"/>
            <w:vAlign w:val="center"/>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热处理淬火介质</w:t>
            </w:r>
          </w:p>
        </w:tc>
        <w:tc>
          <w:tcPr>
            <w:tcW w:w="2655" w:type="dxa"/>
            <w:vAlign w:val="center"/>
          </w:tcPr>
          <w:p>
            <w:pPr>
              <w:numPr>
                <w:ilvl w:val="0"/>
                <w:numId w:val="0"/>
              </w:numPr>
              <w:jc w:val="center"/>
              <w:rPr>
                <w:rFonts w:hint="eastAsia"/>
                <w:sz w:val="18"/>
                <w:szCs w:val="18"/>
                <w:vertAlign w:val="baseline"/>
                <w:lang w:val="en-US" w:eastAsia="zh-CN"/>
              </w:rPr>
            </w:pPr>
            <w:r>
              <w:rPr>
                <w:rFonts w:hint="eastAsia"/>
                <w:sz w:val="18"/>
                <w:szCs w:val="18"/>
                <w:vertAlign w:val="baseline"/>
                <w:lang w:val="en-US" w:eastAsia="zh-CN"/>
              </w:rPr>
              <w:t>化学需氧量（COD）</w:t>
            </w:r>
          </w:p>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mg/L</w:t>
            </w:r>
          </w:p>
        </w:tc>
        <w:tc>
          <w:tcPr>
            <w:tcW w:w="2472" w:type="dxa"/>
            <w:tcBorders>
              <w:right w:val="nil"/>
            </w:tcBorders>
            <w:vAlign w:val="center"/>
          </w:tcPr>
          <w:p>
            <w:pPr>
              <w:numPr>
                <w:ilvl w:val="0"/>
                <w:numId w:val="0"/>
              </w:numPr>
              <w:jc w:val="center"/>
              <w:rPr>
                <w:rFonts w:hint="eastAsia"/>
                <w:sz w:val="18"/>
                <w:szCs w:val="18"/>
                <w:vertAlign w:val="baseline"/>
                <w:lang w:val="en-US" w:eastAsia="zh-CN"/>
              </w:rPr>
            </w:pPr>
            <w:r>
              <w:rPr>
                <w:rFonts w:hint="eastAsia"/>
                <w:sz w:val="18"/>
                <w:szCs w:val="18"/>
                <w:vertAlign w:val="baseline"/>
                <w:lang w:val="en-US" w:eastAsia="zh-CN"/>
              </w:rPr>
              <w:t>生化需氧量（BOD）</w:t>
            </w:r>
          </w:p>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5" w:type="dxa"/>
            <w:tcBorders>
              <w:lef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w:t>
            </w:r>
          </w:p>
        </w:tc>
        <w:tc>
          <w:tcPr>
            <w:tcW w:w="2886"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热处理淬火油</w:t>
            </w:r>
          </w:p>
        </w:tc>
        <w:tc>
          <w:tcPr>
            <w:tcW w:w="2655" w:type="dxa"/>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35997</w:t>
            </w:r>
          </w:p>
        </w:tc>
        <w:tc>
          <w:tcPr>
            <w:tcW w:w="2472" w:type="dxa"/>
            <w:tcBorders>
              <w:righ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5" w:type="dxa"/>
            <w:tcBorders>
              <w:lef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w:t>
            </w:r>
          </w:p>
        </w:tc>
        <w:tc>
          <w:tcPr>
            <w:tcW w:w="2886"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PAG水溶性淬火介质</w:t>
            </w:r>
          </w:p>
        </w:tc>
        <w:tc>
          <w:tcPr>
            <w:tcW w:w="2655" w:type="dxa"/>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11749</w:t>
            </w:r>
          </w:p>
        </w:tc>
        <w:tc>
          <w:tcPr>
            <w:tcW w:w="2472" w:type="dxa"/>
            <w:tcBorders>
              <w:righ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5" w:type="dxa"/>
            <w:tcBorders>
              <w:lef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w:t>
            </w:r>
          </w:p>
        </w:tc>
        <w:tc>
          <w:tcPr>
            <w:tcW w:w="2886"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PVP水溶性淬火介质</w:t>
            </w:r>
          </w:p>
        </w:tc>
        <w:tc>
          <w:tcPr>
            <w:tcW w:w="2655" w:type="dxa"/>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37720</w:t>
            </w:r>
          </w:p>
        </w:tc>
        <w:tc>
          <w:tcPr>
            <w:tcW w:w="2472" w:type="dxa"/>
            <w:tcBorders>
              <w:righ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45" w:type="dxa"/>
            <w:tcBorders>
              <w:lef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4</w:t>
            </w:r>
          </w:p>
        </w:tc>
        <w:tc>
          <w:tcPr>
            <w:tcW w:w="2886"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PEO水溶性淬火介质</w:t>
            </w:r>
          </w:p>
        </w:tc>
        <w:tc>
          <w:tcPr>
            <w:tcW w:w="2655" w:type="dxa"/>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3900</w:t>
            </w:r>
          </w:p>
        </w:tc>
        <w:tc>
          <w:tcPr>
            <w:tcW w:w="2472" w:type="dxa"/>
            <w:tcBorders>
              <w:righ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45" w:type="dxa"/>
            <w:tcBorders>
              <w:lef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5</w:t>
            </w:r>
          </w:p>
        </w:tc>
        <w:tc>
          <w:tcPr>
            <w:tcW w:w="2886" w:type="dxa"/>
          </w:tcPr>
          <w:p>
            <w:pPr>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无机水溶性淬火介质</w:t>
            </w:r>
          </w:p>
        </w:tc>
        <w:tc>
          <w:tcPr>
            <w:tcW w:w="2655" w:type="dxa"/>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179</w:t>
            </w:r>
          </w:p>
        </w:tc>
        <w:tc>
          <w:tcPr>
            <w:tcW w:w="2472" w:type="dxa"/>
            <w:tcBorders>
              <w:right w:val="nil"/>
            </w:tcBorders>
          </w:tcPr>
          <w:p>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35.3</w:t>
            </w:r>
          </w:p>
        </w:tc>
      </w:tr>
    </w:tbl>
    <w:p>
      <w:pPr>
        <w:numPr>
          <w:ilvl w:val="0"/>
          <w:numId w:val="0"/>
        </w:numPr>
        <w:jc w:val="both"/>
        <w:rPr>
          <w:rFonts w:hint="eastAsia" w:ascii="宋体" w:hAnsi="宋体" w:eastAsia="宋体" w:cs="宋体"/>
          <w:sz w:val="18"/>
          <w:szCs w:val="18"/>
          <w:lang w:val="en-US" w:eastAsia="zh-CN"/>
        </w:rPr>
      </w:pPr>
      <w:r>
        <w:rPr>
          <w:rFonts w:hint="eastAsia"/>
          <w:sz w:val="18"/>
          <w:szCs w:val="18"/>
          <w:lang w:val="en-US" w:eastAsia="zh-CN"/>
        </w:rPr>
        <w:t>注：热处理淬火油、PAG水溶性淬火介质化学需氧量、生物需氧量是由沈阳分析研究院2010年检测数据，PVP水溶性淬火介质、PEO水溶性淬火介质、无机水溶性淬火介质是由上海微普</w:t>
      </w:r>
      <w:r>
        <w:rPr>
          <w:rFonts w:hint="eastAsia" w:ascii="宋体" w:hAnsi="宋体" w:eastAsia="宋体" w:cs="宋体"/>
          <w:sz w:val="18"/>
          <w:szCs w:val="18"/>
          <w:lang w:val="en-US" w:eastAsia="zh-CN"/>
        </w:rPr>
        <w:t>检测科技集团股份有限公司检测数据。</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化学需氧量：化学需氧量（COD）是在一定严格的条件下，用化学氧化剂（重铬酸钾K</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Cr</w:t>
      </w:r>
      <w:r>
        <w:rPr>
          <w:rFonts w:hint="eastAsia" w:ascii="宋体" w:hAnsi="宋体" w:eastAsia="宋体" w:cs="宋体"/>
          <w:sz w:val="21"/>
          <w:szCs w:val="21"/>
          <w:vertAlign w:val="subscript"/>
          <w:lang w:val="en-US" w:eastAsia="zh-CN"/>
        </w:rPr>
        <w:t>2</w:t>
      </w: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lang w:val="en-US" w:eastAsia="zh-CN"/>
        </w:rPr>
        <w:t>7</w:t>
      </w:r>
      <w:r>
        <w:rPr>
          <w:rFonts w:hint="eastAsia" w:ascii="宋体" w:hAnsi="宋体" w:eastAsia="宋体" w:cs="宋体"/>
          <w:sz w:val="21"/>
          <w:szCs w:val="21"/>
          <w:lang w:val="en-US" w:eastAsia="zh-CN"/>
        </w:rPr>
        <w:t>）氧化水中的有机污染物是所需溶解氧，需氧量越高，证明污染物越重，因此可知，化学需氧量COD有高到低是热处理淬火油、PVP水溶性淬火介质、PAG水溶性淬火介质、PEO水溶性淬火介质、无机水溶性淬火介质。那么对比这里热处理淬火油最重，PVP水溶性淬火介质次之，PAG水溶性淬火介质是上述两种的1/4，相对低，而 PEO水溶性淬火介质和无机水溶性淬火介质一般数值很少，特别是无机水溶性淬火介质非常少，是优秀的可以推广的水溶性淬火介质。</w:t>
      </w:r>
    </w:p>
    <w:p>
      <w:pPr>
        <w:numPr>
          <w:ilvl w:val="0"/>
          <w:numId w:val="0"/>
        </w:num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生物需氧量（BOD</w:t>
      </w:r>
      <w:r>
        <w:rPr>
          <w:rFonts w:hint="eastAsia" w:ascii="宋体" w:hAnsi="宋体" w:eastAsia="宋体" w:cs="宋体"/>
          <w:sz w:val="21"/>
          <w:szCs w:val="21"/>
          <w:vertAlign w:val="subscript"/>
          <w:lang w:val="en-US" w:eastAsia="zh-CN"/>
        </w:rPr>
        <w:t>5</w:t>
      </w:r>
      <w:r>
        <w:rPr>
          <w:rFonts w:hint="eastAsia" w:ascii="宋体" w:hAnsi="宋体" w:eastAsia="宋体" w:cs="宋体"/>
          <w:sz w:val="21"/>
          <w:szCs w:val="21"/>
          <w:lang w:val="en-US" w:eastAsia="zh-CN"/>
        </w:rPr>
        <w:t>)是生物化学需氧量的简称，指在水体中有氧条件下微生物分解单位体积水中有机物所消耗的溶解氧。生物需氧量BOD</w:t>
      </w:r>
      <w:r>
        <w:rPr>
          <w:rFonts w:hint="eastAsia" w:ascii="宋体" w:hAnsi="宋体" w:eastAsia="宋体" w:cs="宋体"/>
          <w:sz w:val="21"/>
          <w:szCs w:val="21"/>
          <w:vertAlign w:val="subscript"/>
          <w:lang w:val="en-US" w:eastAsia="zh-CN"/>
        </w:rPr>
        <w:t>5</w:t>
      </w:r>
      <w:r>
        <w:rPr>
          <w:rFonts w:hint="eastAsia" w:ascii="宋体" w:hAnsi="宋体" w:eastAsia="宋体" w:cs="宋体"/>
          <w:sz w:val="21"/>
          <w:szCs w:val="21"/>
          <w:lang w:val="en-US" w:eastAsia="zh-CN"/>
        </w:rPr>
        <w:t>越高，表明污染物越重，越不环保，热吹淬火油、PVP水溶性淬火介质、PAG水性淬火介质这三种的生物需氧量（BOD</w:t>
      </w:r>
      <w:r>
        <w:rPr>
          <w:rFonts w:hint="eastAsia" w:ascii="宋体" w:hAnsi="宋体" w:eastAsia="宋体" w:cs="宋体"/>
          <w:sz w:val="21"/>
          <w:szCs w:val="21"/>
          <w:vertAlign w:val="subscript"/>
          <w:lang w:val="en-US" w:eastAsia="zh-CN"/>
        </w:rPr>
        <w:t>5</w:t>
      </w:r>
      <w:r>
        <w:rPr>
          <w:rFonts w:hint="eastAsia" w:ascii="宋体" w:hAnsi="宋体" w:eastAsia="宋体" w:cs="宋体"/>
          <w:sz w:val="21"/>
          <w:szCs w:val="21"/>
          <w:lang w:val="en-US" w:eastAsia="zh-CN"/>
        </w:rPr>
        <w:t>）在一个数量级，热处理淬火油最重，PVP水溶性淬火介质、PAG水溶性淬火介质次之，PEO水溶性淬火介质很少，无机水溶性淬火介质更少，说明这五种介质中，PEO水溶性淬火介质、无机水溶性淬火介质更好。</w:t>
      </w:r>
    </w:p>
    <w:p>
      <w:pPr>
        <w:numPr>
          <w:ilvl w:val="0"/>
          <w:numId w:val="0"/>
        </w:numPr>
        <w:ind w:firstLine="420" w:firstLineChars="200"/>
        <w:jc w:val="both"/>
        <w:rPr>
          <w:rFonts w:hint="eastAsia" w:ascii="宋体" w:hAnsi="宋体" w:eastAsia="宋体" w:cs="宋体"/>
          <w:b/>
          <w:bCs/>
          <w:sz w:val="21"/>
          <w:szCs w:val="21"/>
          <w:lang w:val="en-US" w:eastAsia="zh-CN"/>
        </w:rPr>
      </w:pPr>
      <w:r>
        <w:rPr>
          <w:rFonts w:hint="eastAsia" w:ascii="宋体" w:hAnsi="宋体" w:eastAsia="宋体" w:cs="宋体"/>
          <w:sz w:val="21"/>
          <w:szCs w:val="21"/>
          <w:lang w:val="en-US" w:eastAsia="zh-CN"/>
        </w:rPr>
        <w:t>有热处理淬火介质对影响数据分析，这里主要从化学需氧量（COD）、生物需氧量（BOD5）分析看，热处理淬火油、PVP水溶性淬火介质、PAG水溶性淬火介质都是有机物，数值都很高，环保性差。PEO水性淬火介质排放时需要回收处理，最环保的是无机水溶性淬火介质。</w:t>
      </w:r>
    </w:p>
    <w:p>
      <w:pPr>
        <w:numPr>
          <w:ilvl w:val="0"/>
          <w:numId w:val="0"/>
        </w:numPr>
        <w:ind w:left="210"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     热处理淬火介质碳排放比较</w:t>
      </w:r>
    </w:p>
    <w:p>
      <w:pPr>
        <w:numPr>
          <w:ilvl w:val="0"/>
          <w:numId w:val="0"/>
        </w:numPr>
        <w:ind w:left="210" w:leftChars="0"/>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 xml:space="preserve">  </w:t>
      </w:r>
      <w:r>
        <w:rPr>
          <w:rFonts w:hint="eastAsia" w:ascii="宋体" w:hAnsi="宋体" w:eastAsia="宋体" w:cs="宋体"/>
          <w:b w:val="0"/>
          <w:bCs w:val="0"/>
          <w:sz w:val="21"/>
          <w:szCs w:val="21"/>
          <w:lang w:val="en-US" w:eastAsia="zh-CN"/>
        </w:rPr>
        <w:t>明确碳排放标准将气体温室排放分为三个范畴，直接排放、间接排放和碳汇。</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直接排放是指直接有人类活动产生的温室气体排放，如工业生产和交通运输。间接排放是指人类活动间接导致的气体排放，如电力生产和供应链。碳汇是指通过植物和土壤吸收二氧化碳的过程，旨在控制减少温室气体排放。</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低碳，英文： </w:t>
      </w:r>
      <w:r>
        <w:rPr>
          <w:rFonts w:ascii="Arial" w:hAnsi="Arial" w:eastAsia="宋体" w:cs="Arial"/>
          <w:i w:val="0"/>
          <w:iCs w:val="0"/>
          <w:caps w:val="0"/>
          <w:color w:val="333333"/>
          <w:spacing w:val="0"/>
          <w:sz w:val="21"/>
          <w:szCs w:val="21"/>
          <w:u w:val="none"/>
          <w:shd w:val="clear" w:fill="FFFFFF"/>
        </w:rPr>
        <w:fldChar w:fldCharType="begin"/>
      </w:r>
      <w:r>
        <w:rPr>
          <w:rFonts w:ascii="Arial" w:hAnsi="Arial" w:eastAsia="宋体" w:cs="Arial"/>
          <w:i w:val="0"/>
          <w:iCs w:val="0"/>
          <w:caps w:val="0"/>
          <w:color w:val="333333"/>
          <w:spacing w:val="0"/>
          <w:sz w:val="21"/>
          <w:szCs w:val="21"/>
          <w:u w:val="none"/>
          <w:shd w:val="clear" w:fill="FFFFFF"/>
        </w:rPr>
        <w:instrText xml:space="preserve"> HYPERLINK "https://fanyi.so.com/?src=onebox" \l "low carbon" \t "https://www.so.com/_blank" </w:instrText>
      </w:r>
      <w:r>
        <w:rPr>
          <w:rFonts w:ascii="Arial" w:hAnsi="Arial" w:eastAsia="宋体" w:cs="Arial"/>
          <w:i w:val="0"/>
          <w:iCs w:val="0"/>
          <w:caps w:val="0"/>
          <w:color w:val="333333"/>
          <w:spacing w:val="0"/>
          <w:sz w:val="21"/>
          <w:szCs w:val="21"/>
          <w:u w:val="none"/>
          <w:shd w:val="clear" w:fill="FFFFFF"/>
        </w:rPr>
        <w:fldChar w:fldCharType="separate"/>
      </w:r>
      <w:r>
        <w:rPr>
          <w:rStyle w:val="9"/>
          <w:rFonts w:hint="eastAsia" w:ascii="Arial" w:hAnsi="Arial" w:eastAsia="宋体" w:cs="Arial"/>
          <w:i w:val="0"/>
          <w:iCs w:val="0"/>
          <w:caps w:val="0"/>
          <w:color w:val="333333"/>
          <w:spacing w:val="0"/>
          <w:sz w:val="21"/>
          <w:szCs w:val="21"/>
          <w:u w:val="none"/>
          <w:shd w:val="clear" w:fill="FFFFFF"/>
          <w:lang w:val="en-US" w:eastAsia="zh-CN"/>
        </w:rPr>
        <w:t>L</w:t>
      </w:r>
      <w:r>
        <w:rPr>
          <w:rStyle w:val="9"/>
          <w:rFonts w:hint="default" w:ascii="Arial" w:hAnsi="Arial" w:eastAsia="宋体" w:cs="Arial"/>
          <w:i w:val="0"/>
          <w:iCs w:val="0"/>
          <w:caps w:val="0"/>
          <w:color w:val="333333"/>
          <w:spacing w:val="0"/>
          <w:sz w:val="21"/>
          <w:szCs w:val="21"/>
          <w:u w:val="none"/>
          <w:shd w:val="clear" w:fill="FFFFFF"/>
        </w:rPr>
        <w:t>ow carbon</w:t>
      </w:r>
      <w:r>
        <w:rPr>
          <w:rFonts w:hint="default" w:ascii="Arial" w:hAnsi="Arial" w:eastAsia="宋体" w:cs="Arial"/>
          <w:i w:val="0"/>
          <w:iCs w:val="0"/>
          <w:caps w:val="0"/>
          <w:color w:val="333333"/>
          <w:spacing w:val="0"/>
          <w:sz w:val="21"/>
          <w:szCs w:val="21"/>
          <w:u w:val="none"/>
          <w:shd w:val="clear" w:fill="FFFFFF"/>
        </w:rPr>
        <w:fldChar w:fldCharType="end"/>
      </w:r>
      <w:r>
        <w:rPr>
          <w:rFonts w:hint="eastAsia" w:ascii="宋体" w:hAnsi="宋体" w:eastAsia="宋体" w:cs="宋体"/>
          <w:b w:val="0"/>
          <w:bCs w:val="0"/>
          <w:sz w:val="21"/>
          <w:szCs w:val="21"/>
          <w:lang w:val="en-US" w:eastAsia="zh-CN"/>
        </w:rPr>
        <w:t>，是指温室气体量较低或者非常低，这些“碳”气体以二氧化碳为主，还包括甲烷等气体。低碳也是世界及我国一直追求的目标。</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在机械加工、金属热处理方面，热处理工艺材料-热处理淬火介质方面，同样追求低碳减排的目标。</w:t>
      </w:r>
    </w:p>
    <w:p>
      <w:pPr>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在2010年1-4月由沈阳分析研究院与2023年5月由上海微谱检测科技集团股份有限公司（见表一数据），分别对热处理淬火油、PAG水溶性淬火介质、PVP水溶性淬火介质、PEO水溶性淬火介质、无机水溶性淬火介质进行分析检测，发现热处理淬火油中有一氧化碳、二氧化碳气体组分排查，而PAG水溶性淬火介质、PVP水溶性淬火介质、PEO水溶性淬火介质、无机水溶性淬火介质却无二氧化碳气体排出，原因是水溶性淬火介质分子结构中午单独二氧化碳气体排出，说明PAG水溶性淬火介质、PVP水溶性淬火介质、PEO水溶性淬火介质、无机水溶性淬火介质是少碳或无碳，或者低碳的热处理介质，可以大力推广的低碳介质。</w:t>
      </w:r>
    </w:p>
    <w:p>
      <w:pPr>
        <w:numPr>
          <w:ilvl w:val="0"/>
          <w:numId w:val="0"/>
        </w:numPr>
        <w:ind w:firstLine="420" w:firstLineChars="200"/>
        <w:jc w:val="left"/>
        <w:rPr>
          <w:sz w:val="21"/>
          <w:szCs w:val="21"/>
          <w:lang w:val="en-US" w:eastAsia="zh-CN"/>
        </w:rPr>
      </w:pPr>
      <w:r>
        <w:rPr>
          <w:rFonts w:hint="eastAsia" w:ascii="宋体" w:hAnsi="宋体" w:eastAsia="宋体" w:cs="宋体"/>
          <w:b w:val="0"/>
          <w:bCs w:val="0"/>
          <w:sz w:val="21"/>
          <w:szCs w:val="21"/>
          <w:lang w:val="en-US" w:eastAsia="zh-CN"/>
        </w:rPr>
        <w:t>我国在十二五、十三五、十四五这几十年时间里，在中国热处理行业学会、协会大力推广下，在环保部门监督下，在北上广、京津沪等重要城市，禁止或减少使用热处理淬火油，大力推进水溶性淬火介质，取得可喜成绩，热处理淬火油的取代份额从2000年的30%上升到40%-50%，甚至更多。水溶性淬火介质应用的领域有汽车零部件、石油化工机械、矿山机械、航空航天、国防军工、航母潜艇、工业机器人等。</w:t>
      </w:r>
    </w:p>
    <w:p>
      <w:pPr>
        <w:numPr>
          <w:ilvl w:val="0"/>
          <w:numId w:val="4"/>
        </w:numPr>
        <w:bidi w:val="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热处理淬火介质挥发性有机物VOC</w:t>
      </w:r>
      <w:r>
        <w:rPr>
          <w:rFonts w:hint="eastAsia" w:ascii="宋体" w:hAnsi="宋体" w:eastAsia="宋体" w:cs="宋体"/>
          <w:b/>
          <w:bCs/>
          <w:sz w:val="21"/>
          <w:szCs w:val="21"/>
          <w:vertAlign w:val="subscript"/>
          <w:lang w:val="en-US" w:eastAsia="zh-CN"/>
        </w:rPr>
        <w:t>S</w:t>
      </w:r>
      <w:r>
        <w:rPr>
          <w:rFonts w:hint="eastAsia" w:ascii="宋体" w:hAnsi="宋体" w:eastAsia="宋体" w:cs="宋体"/>
          <w:b/>
          <w:bCs/>
          <w:sz w:val="21"/>
          <w:szCs w:val="21"/>
          <w:lang w:val="en-US" w:eastAsia="zh-CN"/>
        </w:rPr>
        <w:t xml:space="preserve">比较 </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是指挥发性有机化合物的英文简称，VOC常用于口语，VOC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用于书面，国家制定标准GB30981-2020。</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OC是指常温常压下易于挥发并进入大气中的有机化合物，包括烃类、醇类、醛类、酯类等多种类型，VOC是大气污染重要来源之一，其排放导致大气光化学烟雾、臭氧层破坏、温室效应、酸雨等环境问题，同时也会对人体健康造成伤害，比如刺激呼吸道，影响神经系统，致癌等。</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VOC主要排放元包括工业生产、交通运输、生活生产、等多个领域。其中工业生产是VOC排放主要贡献者，如有机化工、石油化工、包装印刷、表面涂装、皮革化工、橡胶等行业，因此采用在线监测系统，有红外光谱法、紫外光谱法，火焰离子法等。                                                                                                                                           主要检测的项目包括苯、甲苯总和、卤代烃总和，主要用于生活生产中的家庭装修存在的VOC排放，包括油漆，涂料、装饰装修中的有害气体排放。</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热处理生产中,VOC排放主要有热处理淬火介质产生，包括热处理淬火油、PAG水溶性淬火介质、PVP淬火介质、PEO淬火介质、无机淬火介质。</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热处理淬火油VOC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数据我们采用天津创真金属科技有限公司于2022.08.23，由谱尼测试科技（天津）有限公检测的TRVOC数据。</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采气的部位，热处理废气排放口2（净化前1000加热炉）实测排放数据为2.88mg/m3*2880μg/m3,见照片。</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drawing>
          <wp:inline distT="0" distB="0" distL="114300" distR="114300">
            <wp:extent cx="5439410" cy="3941445"/>
            <wp:effectExtent l="0" t="0" r="1270" b="5715"/>
            <wp:docPr id="5" name="图片 5" descr="微信图片_2023070711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707112055"/>
                    <pic:cNvPicPr>
                      <a:picLocks noChangeAspect="1"/>
                    </pic:cNvPicPr>
                  </pic:nvPicPr>
                  <pic:blipFill>
                    <a:blip r:embed="rId6"/>
                    <a:stretch>
                      <a:fillRect/>
                    </a:stretch>
                  </pic:blipFill>
                  <pic:spPr>
                    <a:xfrm>
                      <a:off x="0" y="0"/>
                      <a:ext cx="5439410" cy="3941445"/>
                    </a:xfrm>
                    <a:prstGeom prst="rect">
                      <a:avLst/>
                    </a:prstGeom>
                  </pic:spPr>
                </pic:pic>
              </a:graphicData>
            </a:graphic>
          </wp:inline>
        </w:drawing>
      </w:r>
    </w:p>
    <w:p>
      <w:pPr>
        <w:widowControl w:val="0"/>
        <w:numPr>
          <w:ilvl w:val="0"/>
          <w:numId w:val="0"/>
        </w:numPr>
        <w:bidi w:val="0"/>
        <w:ind w:firstLine="42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注：热处理淬火炉采用淬火油。</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AG水溶性淬火介质、PVP淬火介质、PEO淬火介质、无机淬火介质我们于2023.06.29由辽宁海明化学品有限公司准备的上述四种气体，由上海微普检测科技集团有限公司测定数据（附照片）测试依据HJ644-2013,仪器型号GCMS-WP20200-037-01,数据分别197mg/m3,117mg/m3，179mg/m3，760mg/m3(附图片）</w:t>
      </w:r>
    </w:p>
    <w:p>
      <w:pPr>
        <w:widowControl w:val="0"/>
        <w:numPr>
          <w:ilvl w:val="0"/>
          <w:numId w:val="0"/>
        </w:numPr>
        <w:bidi w:val="0"/>
        <w:ind w:firstLine="42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lang w:val="en-US" w:eastAsia="zh-CN"/>
        </w:rPr>
        <w:drawing>
          <wp:inline distT="0" distB="0" distL="114300" distR="114300">
            <wp:extent cx="6499225" cy="3041650"/>
            <wp:effectExtent l="0" t="0" r="8255" b="6350"/>
            <wp:docPr id="4" name="图片 4" descr="微信图片_2023070711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707111826"/>
                    <pic:cNvPicPr>
                      <a:picLocks noChangeAspect="1"/>
                    </pic:cNvPicPr>
                  </pic:nvPicPr>
                  <pic:blipFill>
                    <a:blip r:embed="rId7"/>
                    <a:stretch>
                      <a:fillRect/>
                    </a:stretch>
                  </pic:blipFill>
                  <pic:spPr>
                    <a:xfrm>
                      <a:off x="0" y="0"/>
                      <a:ext cx="6499225" cy="3041650"/>
                    </a:xfrm>
                    <a:prstGeom prst="rect">
                      <a:avLst/>
                    </a:prstGeom>
                  </pic:spPr>
                </pic:pic>
              </a:graphicData>
            </a:graphic>
          </wp:inline>
        </w:drawing>
      </w:r>
    </w:p>
    <w:p>
      <w:pPr>
        <w:widowControl w:val="0"/>
        <w:numPr>
          <w:ilvl w:val="0"/>
          <w:numId w:val="0"/>
        </w:numPr>
        <w:bidi w:val="0"/>
        <w:ind w:firstLine="420"/>
        <w:jc w:val="center"/>
        <w:rPr>
          <w:rFonts w:hint="eastAsia" w:ascii="宋体" w:hAnsi="宋体" w:eastAsia="宋体" w:cs="宋体"/>
          <w:b w:val="0"/>
          <w:bCs w:val="0"/>
          <w:sz w:val="21"/>
          <w:szCs w:val="21"/>
          <w:lang w:val="en-US" w:eastAsia="zh-CN"/>
        </w:rPr>
      </w:pPr>
    </w:p>
    <w:p>
      <w:pPr>
        <w:widowControl w:val="0"/>
        <w:numPr>
          <w:ilvl w:val="0"/>
          <w:numId w:val="0"/>
        </w:numPr>
        <w:bidi w:val="0"/>
        <w:ind w:firstLine="420"/>
        <w:jc w:val="center"/>
        <w:rPr>
          <w:rFonts w:hint="eastAsia" w:ascii="宋体" w:hAnsi="宋体" w:eastAsia="宋体" w:cs="宋体"/>
          <w:b w:val="0"/>
          <w:bCs w:val="0"/>
          <w:sz w:val="21"/>
          <w:szCs w:val="21"/>
          <w:lang w:val="en-US" w:eastAsia="zh-CN"/>
        </w:rPr>
      </w:pPr>
    </w:p>
    <w:p>
      <w:pPr>
        <w:widowControl w:val="0"/>
        <w:numPr>
          <w:ilvl w:val="0"/>
          <w:numId w:val="0"/>
        </w:numPr>
        <w:bidi w:val="0"/>
        <w:ind w:firstLine="42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热处理淬火介质VOC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排放数据比较</w:t>
      </w:r>
    </w:p>
    <w:tbl>
      <w:tblPr>
        <w:tblStyle w:val="6"/>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757"/>
        <w:gridCol w:w="1835"/>
        <w:gridCol w:w="183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编号</w:t>
            </w:r>
          </w:p>
        </w:tc>
        <w:tc>
          <w:tcPr>
            <w:tcW w:w="2757"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热处理淬火介质</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vertAlign w:val="baseline"/>
                <w:lang w:val="en-US" w:eastAsia="zh-CN"/>
              </w:rPr>
              <w:t>数值</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单位</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测试依据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2757"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热处理淬火油</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2880</w:t>
            </w:r>
          </w:p>
        </w:tc>
        <w:tc>
          <w:tcPr>
            <w:tcW w:w="1836"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pacing w:val="-20"/>
                <w:sz w:val="21"/>
                <w:szCs w:val="21"/>
                <w:vertAlign w:val="baseline"/>
                <w:lang w:val="en-US" w:eastAsia="zh-CN"/>
              </w:rPr>
              <w:t>μg</w:t>
            </w:r>
            <w:r>
              <w:rPr>
                <w:rFonts w:hint="eastAsia" w:ascii="宋体" w:hAnsi="宋体" w:eastAsia="宋体" w:cs="宋体"/>
                <w:b w:val="0"/>
                <w:bCs w:val="0"/>
                <w:sz w:val="21"/>
                <w:szCs w:val="21"/>
                <w:vertAlign w:val="baseline"/>
                <w:lang w:val="en-US" w:eastAsia="zh-CN"/>
              </w:rPr>
              <w:t>/m3</w:t>
            </w:r>
          </w:p>
        </w:tc>
        <w:tc>
          <w:tcPr>
            <w:tcW w:w="1836" w:type="dxa"/>
            <w:vMerge w:val="restart"/>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HJ644-2013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2757"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PAG水溶性淬火介质</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197</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pacing w:val="-20"/>
                <w:sz w:val="21"/>
                <w:szCs w:val="21"/>
                <w:vertAlign w:val="baseline"/>
                <w:lang w:val="en-US" w:eastAsia="zh-CN"/>
              </w:rPr>
              <w:t>μg</w:t>
            </w:r>
            <w:r>
              <w:rPr>
                <w:rFonts w:hint="eastAsia" w:ascii="宋体" w:hAnsi="宋体" w:eastAsia="宋体" w:cs="宋体"/>
                <w:b w:val="0"/>
                <w:bCs w:val="0"/>
                <w:sz w:val="21"/>
                <w:szCs w:val="21"/>
                <w:vertAlign w:val="baseline"/>
                <w:lang w:val="en-US" w:eastAsia="zh-CN"/>
              </w:rPr>
              <w:t>/m3</w:t>
            </w:r>
          </w:p>
        </w:tc>
        <w:tc>
          <w:tcPr>
            <w:tcW w:w="1836" w:type="dxa"/>
            <w:vMerge w:val="continue"/>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2757"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PVP水溶性淬火介质</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117</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pacing w:val="-20"/>
                <w:sz w:val="21"/>
                <w:szCs w:val="21"/>
                <w:vertAlign w:val="baseline"/>
                <w:lang w:val="en-US" w:eastAsia="zh-CN"/>
              </w:rPr>
              <w:t>μg</w:t>
            </w:r>
            <w:r>
              <w:rPr>
                <w:rFonts w:hint="eastAsia" w:ascii="宋体" w:hAnsi="宋体" w:eastAsia="宋体" w:cs="宋体"/>
                <w:b w:val="0"/>
                <w:bCs w:val="0"/>
                <w:sz w:val="21"/>
                <w:szCs w:val="21"/>
                <w:vertAlign w:val="baseline"/>
                <w:lang w:val="en-US" w:eastAsia="zh-CN"/>
              </w:rPr>
              <w:t>/m3</w:t>
            </w:r>
          </w:p>
        </w:tc>
        <w:tc>
          <w:tcPr>
            <w:tcW w:w="1836" w:type="dxa"/>
            <w:vMerge w:val="continue"/>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13"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2757"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PEO水溶性淬火介质</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179</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pacing w:val="-20"/>
                <w:sz w:val="21"/>
                <w:szCs w:val="21"/>
                <w:vertAlign w:val="baseline"/>
                <w:lang w:val="en-US" w:eastAsia="zh-CN"/>
              </w:rPr>
              <w:t>μg</w:t>
            </w:r>
            <w:r>
              <w:rPr>
                <w:rFonts w:hint="eastAsia" w:ascii="宋体" w:hAnsi="宋体" w:eastAsia="宋体" w:cs="宋体"/>
                <w:b w:val="0"/>
                <w:bCs w:val="0"/>
                <w:sz w:val="21"/>
                <w:szCs w:val="21"/>
                <w:vertAlign w:val="baseline"/>
                <w:lang w:val="en-US" w:eastAsia="zh-CN"/>
              </w:rPr>
              <w:t>/m3</w:t>
            </w:r>
          </w:p>
        </w:tc>
        <w:tc>
          <w:tcPr>
            <w:tcW w:w="1836" w:type="dxa"/>
            <w:vMerge w:val="continue"/>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13"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w:t>
            </w:r>
          </w:p>
        </w:tc>
        <w:tc>
          <w:tcPr>
            <w:tcW w:w="2757"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无机水溶性淬火介质</w:t>
            </w:r>
          </w:p>
        </w:tc>
        <w:tc>
          <w:tcPr>
            <w:tcW w:w="1835" w:type="dxa"/>
            <w:tcBorders>
              <w:tl2br w:val="nil"/>
              <w:tr2bl w:val="nil"/>
            </w:tcBorders>
            <w:vAlign w:val="center"/>
          </w:tcPr>
          <w:p>
            <w:pPr>
              <w:widowControl w:val="0"/>
              <w:numPr>
                <w:ilvl w:val="0"/>
                <w:numId w:val="0"/>
              </w:numPr>
              <w:bidi w:val="0"/>
              <w:jc w:val="center"/>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760</w:t>
            </w:r>
          </w:p>
        </w:tc>
        <w:tc>
          <w:tcPr>
            <w:tcW w:w="1836" w:type="dxa"/>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pacing w:val="-20"/>
                <w:sz w:val="21"/>
                <w:szCs w:val="21"/>
                <w:vertAlign w:val="baseline"/>
                <w:lang w:val="en-US" w:eastAsia="zh-CN"/>
              </w:rPr>
              <w:t>μg</w:t>
            </w:r>
            <w:r>
              <w:rPr>
                <w:rFonts w:hint="eastAsia" w:ascii="宋体" w:hAnsi="宋体" w:eastAsia="宋体" w:cs="宋体"/>
                <w:b w:val="0"/>
                <w:bCs w:val="0"/>
                <w:sz w:val="21"/>
                <w:szCs w:val="21"/>
                <w:vertAlign w:val="baseline"/>
                <w:lang w:val="en-US" w:eastAsia="zh-CN"/>
              </w:rPr>
              <w:t>/m3</w:t>
            </w:r>
          </w:p>
        </w:tc>
        <w:tc>
          <w:tcPr>
            <w:tcW w:w="1836" w:type="dxa"/>
            <w:vMerge w:val="continue"/>
            <w:tcBorders>
              <w:tl2br w:val="nil"/>
              <w:tr2bl w:val="nil"/>
            </w:tcBorders>
            <w:vAlign w:val="center"/>
          </w:tcPr>
          <w:p>
            <w:pPr>
              <w:widowControl w:val="0"/>
              <w:numPr>
                <w:ilvl w:val="0"/>
                <w:numId w:val="0"/>
              </w:numPr>
              <w:bidi w:val="0"/>
              <w:jc w:val="center"/>
              <w:rPr>
                <w:rFonts w:hint="eastAsia" w:ascii="宋体" w:hAnsi="宋体" w:eastAsia="宋体" w:cs="宋体"/>
                <w:b w:val="0"/>
                <w:bCs w:val="0"/>
                <w:sz w:val="21"/>
                <w:szCs w:val="21"/>
                <w:vertAlign w:val="baseline"/>
                <w:lang w:val="en-US" w:eastAsia="zh-CN"/>
              </w:rPr>
            </w:pPr>
          </w:p>
        </w:tc>
      </w:tr>
    </w:tbl>
    <w:p>
      <w:pPr>
        <w:widowControl w:val="0"/>
        <w:numPr>
          <w:ilvl w:val="0"/>
          <w:numId w:val="0"/>
        </w:numPr>
        <w:bidi w:val="0"/>
        <w:ind w:firstLine="42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虽然上述5个数据取自二组，分别有两个被检测单位，两个检测单位得出，我们取宏观数据，大致判断出：淬火油的VOC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是水溶性介质的百倍以上，水溶性介质相对环保优秀。</w:t>
      </w:r>
    </w:p>
    <w:p>
      <w:pPr>
        <w:numPr>
          <w:ilvl w:val="0"/>
          <w:numId w:val="4"/>
        </w:numPr>
        <w:bidi w:val="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热处理淬火介质各因素附加比较</w:t>
      </w:r>
    </w:p>
    <w:p>
      <w:pPr>
        <w:numPr>
          <w:ilvl w:val="0"/>
          <w:numId w:val="0"/>
        </w:numPr>
        <w:bidi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我们今天讨论的热处理淬火介质应用，大多 用在对热处理大件、超大件、普通件、网带炉等普遍热处理淬火。</w:t>
      </w:r>
    </w:p>
    <w:p>
      <w:pPr>
        <w:numPr>
          <w:ilvl w:val="0"/>
          <w:numId w:val="0"/>
        </w:numPr>
        <w:bidi w:val="0"/>
        <w:ind w:firstLine="420" w:firstLineChars="200"/>
        <w:jc w:val="left"/>
        <w:rPr>
          <w:rFonts w:hint="eastAsia" w:ascii="宋体" w:hAnsi="宋体" w:eastAsia="宋体" w:cs="宋体"/>
          <w:b/>
          <w:bCs/>
          <w:lang w:val="en-US" w:eastAsia="zh-CN"/>
        </w:rPr>
      </w:pPr>
      <w:r>
        <w:rPr>
          <w:rFonts w:hint="eastAsia" w:ascii="宋体" w:hAnsi="宋体" w:eastAsia="宋体" w:cs="宋体"/>
          <w:sz w:val="21"/>
          <w:szCs w:val="21"/>
          <w:lang w:val="en-US" w:eastAsia="zh-CN"/>
        </w:rPr>
        <w:t>我们把热处理崔鹤介质如下因素：1）碳排放比较；2）淬火产生废气对环境、操作者影响比较；3）VOC排放比较；4）操作复杂性（维护对比、检测对比）；5）后续废液处理比较；6)淬火介质带出量比较；7)经济性比较；8)应用淬火钢材范围比较；9)淬火安全性等等，列表如下：</w:t>
      </w:r>
    </w:p>
    <w:p>
      <w:pPr>
        <w:numPr>
          <w:ilvl w:val="0"/>
          <w:numId w:val="0"/>
        </w:numPr>
        <w:bidi w:val="0"/>
        <w:ind w:firstLine="360" w:firstLineChars="200"/>
        <w:jc w:val="center"/>
        <w:rPr>
          <w:rFonts w:hint="eastAsia" w:ascii="黑体" w:hAnsi="黑体" w:eastAsia="黑体" w:cs="黑体"/>
          <w:b w:val="0"/>
          <w:bCs w:val="0"/>
          <w:sz w:val="18"/>
          <w:szCs w:val="18"/>
          <w:lang w:val="en-US" w:eastAsia="zh-CN"/>
        </w:rPr>
      </w:pPr>
      <w:r>
        <w:rPr>
          <w:rFonts w:hint="eastAsia" w:ascii="黑体" w:hAnsi="黑体" w:eastAsia="黑体" w:cs="黑体"/>
          <w:b w:val="0"/>
          <w:bCs w:val="0"/>
          <w:sz w:val="18"/>
          <w:szCs w:val="18"/>
          <w:lang w:val="en-US" w:eastAsia="zh-CN"/>
        </w:rPr>
        <w:t>热处理淬火介质各因素附加比较</w:t>
      </w:r>
    </w:p>
    <w:tbl>
      <w:tblPr>
        <w:tblStyle w:val="6"/>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332"/>
        <w:gridCol w:w="1527"/>
        <w:gridCol w:w="1429"/>
        <w:gridCol w:w="143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9" w:type="dxa"/>
            <w:vMerge w:val="restart"/>
            <w:tcBorders>
              <w:tl2br w:val="nil"/>
              <w:tr2bl w:val="nil"/>
            </w:tcBorders>
            <w:vAlign w:val="center"/>
          </w:tcPr>
          <w:p>
            <w:pPr>
              <w:jc w:val="center"/>
              <w:rPr>
                <w:rFonts w:hint="eastAsia" w:eastAsiaTheme="minorEastAsia"/>
                <w:b/>
                <w:bCs/>
                <w:sz w:val="18"/>
                <w:szCs w:val="18"/>
                <w:vertAlign w:val="baseline"/>
                <w:lang w:val="en-US" w:eastAsia="zh-CN"/>
              </w:rPr>
            </w:pPr>
            <w:r>
              <w:rPr>
                <w:rFonts w:hint="eastAsia"/>
                <w:b/>
                <w:bCs/>
                <w:sz w:val="18"/>
                <w:szCs w:val="18"/>
                <w:vertAlign w:val="baseline"/>
                <w:lang w:val="en-US" w:eastAsia="zh-CN"/>
              </w:rPr>
              <w:t>各因素比较</w:t>
            </w:r>
          </w:p>
        </w:tc>
        <w:tc>
          <w:tcPr>
            <w:tcW w:w="7150" w:type="dxa"/>
            <w:gridSpan w:val="5"/>
            <w:tcBorders>
              <w:tl2br w:val="nil"/>
              <w:tr2bl w:val="nil"/>
            </w:tcBorders>
            <w:vAlign w:val="center"/>
          </w:tcPr>
          <w:p>
            <w:pPr>
              <w:jc w:val="center"/>
              <w:rPr>
                <w:b/>
                <w:bCs/>
                <w:vertAlign w:val="baseline"/>
              </w:rPr>
            </w:pPr>
            <w:r>
              <w:rPr>
                <w:rFonts w:hint="eastAsia"/>
                <w:b/>
                <w:bCs/>
                <w:sz w:val="18"/>
                <w:szCs w:val="18"/>
                <w:vertAlign w:val="baseline"/>
                <w:lang w:val="en-US" w:eastAsia="zh-CN"/>
              </w:rPr>
              <w:t>热处理淬火介质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429" w:type="dxa"/>
            <w:vMerge w:val="continue"/>
            <w:tcBorders>
              <w:tl2br w:val="nil"/>
              <w:tr2bl w:val="nil"/>
            </w:tcBorders>
            <w:vAlign w:val="center"/>
          </w:tcPr>
          <w:p>
            <w:pPr>
              <w:jc w:val="center"/>
              <w:rPr>
                <w:rFonts w:hint="eastAsia" w:asciiTheme="minorHAnsi" w:hAnsiTheme="minorHAnsi" w:eastAsiaTheme="minorEastAsia" w:cstheme="minorBidi"/>
                <w:b/>
                <w:bCs/>
                <w:kern w:val="2"/>
                <w:sz w:val="21"/>
                <w:szCs w:val="24"/>
                <w:vertAlign w:val="baseline"/>
                <w:lang w:val="en-US" w:eastAsia="zh-CN" w:bidi="ar-SA"/>
              </w:rPr>
            </w:pPr>
          </w:p>
        </w:tc>
        <w:tc>
          <w:tcPr>
            <w:tcW w:w="1332" w:type="dxa"/>
            <w:tcBorders>
              <w:tl2br w:val="nil"/>
              <w:tr2bl w:val="nil"/>
            </w:tcBorders>
            <w:vAlign w:val="center"/>
          </w:tcPr>
          <w:p>
            <w:pPr>
              <w:numPr>
                <w:ilvl w:val="0"/>
                <w:numId w:val="0"/>
              </w:numPr>
              <w:bidi w:val="0"/>
              <w:ind w:left="0" w:leftChars="0" w:firstLine="0" w:firstLineChars="0"/>
              <w:jc w:val="center"/>
              <w:rPr>
                <w:rFonts w:hint="eastAsia" w:asciiTheme="minorHAnsi" w:hAnsiTheme="minorHAnsi" w:eastAsiaTheme="minorEastAsia" w:cstheme="minorBidi"/>
                <w:b/>
                <w:bCs/>
                <w:kern w:val="2"/>
                <w:sz w:val="21"/>
                <w:szCs w:val="24"/>
                <w:vertAlign w:val="baseline"/>
                <w:lang w:val="en-US" w:eastAsia="zh-CN" w:bidi="ar-SA"/>
              </w:rPr>
            </w:pPr>
            <w:r>
              <w:rPr>
                <w:rFonts w:hint="eastAsia" w:ascii="宋体" w:hAnsi="宋体" w:eastAsia="宋体" w:cs="宋体"/>
                <w:b/>
                <w:bCs/>
                <w:sz w:val="18"/>
                <w:szCs w:val="18"/>
                <w:vertAlign w:val="baseline"/>
                <w:lang w:val="en-US" w:eastAsia="zh-CN"/>
              </w:rPr>
              <w:t>热处理淬火油</w:t>
            </w:r>
          </w:p>
        </w:tc>
        <w:tc>
          <w:tcPr>
            <w:tcW w:w="1527" w:type="dxa"/>
            <w:tcBorders>
              <w:tl2br w:val="nil"/>
              <w:tr2bl w:val="nil"/>
            </w:tcBorders>
            <w:vAlign w:val="center"/>
          </w:tcPr>
          <w:p>
            <w:pPr>
              <w:numPr>
                <w:ilvl w:val="0"/>
                <w:numId w:val="0"/>
              </w:numPr>
              <w:bidi w:val="0"/>
              <w:ind w:left="0" w:leftChars="0" w:firstLine="0" w:firstLineChars="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PAG水溶性</w:t>
            </w:r>
          </w:p>
          <w:p>
            <w:pPr>
              <w:numPr>
                <w:ilvl w:val="0"/>
                <w:numId w:val="0"/>
              </w:numPr>
              <w:bidi w:val="0"/>
              <w:ind w:left="0" w:leftChars="0" w:firstLine="0" w:firstLineChars="0"/>
              <w:jc w:val="center"/>
              <w:rPr>
                <w:rFonts w:hint="eastAsia" w:asciiTheme="minorHAnsi" w:hAnsiTheme="minorHAnsi" w:eastAsiaTheme="minorEastAsia" w:cstheme="minorBidi"/>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淬火介质</w:t>
            </w:r>
          </w:p>
        </w:tc>
        <w:tc>
          <w:tcPr>
            <w:tcW w:w="1429" w:type="dxa"/>
            <w:tcBorders>
              <w:tl2br w:val="nil"/>
              <w:tr2bl w:val="nil"/>
            </w:tcBorders>
            <w:vAlign w:val="center"/>
          </w:tcPr>
          <w:p>
            <w:pPr>
              <w:numPr>
                <w:ilvl w:val="0"/>
                <w:numId w:val="0"/>
              </w:numPr>
              <w:bidi w:val="0"/>
              <w:ind w:left="0" w:leftChars="0" w:firstLine="0" w:firstLineChars="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PVP水溶性</w:t>
            </w:r>
          </w:p>
          <w:p>
            <w:pPr>
              <w:numPr>
                <w:ilvl w:val="0"/>
                <w:numId w:val="0"/>
              </w:numPr>
              <w:bidi w:val="0"/>
              <w:ind w:left="0" w:leftChars="0" w:firstLine="0" w:firstLineChars="0"/>
              <w:jc w:val="center"/>
              <w:rPr>
                <w:rFonts w:hint="eastAsia" w:asciiTheme="minorHAnsi" w:hAnsiTheme="minorHAnsi" w:eastAsiaTheme="minorEastAsia" w:cstheme="minorBidi"/>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淬火介质</w:t>
            </w:r>
          </w:p>
        </w:tc>
        <w:tc>
          <w:tcPr>
            <w:tcW w:w="1430" w:type="dxa"/>
            <w:tcBorders>
              <w:tl2br w:val="nil"/>
              <w:tr2bl w:val="nil"/>
            </w:tcBorders>
            <w:vAlign w:val="center"/>
          </w:tcPr>
          <w:p>
            <w:pPr>
              <w:numPr>
                <w:ilvl w:val="0"/>
                <w:numId w:val="0"/>
              </w:numPr>
              <w:bidi w:val="0"/>
              <w:ind w:left="0" w:leftChars="0" w:firstLine="0" w:firstLineChars="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PEO水溶性</w:t>
            </w:r>
          </w:p>
          <w:p>
            <w:pPr>
              <w:numPr>
                <w:ilvl w:val="0"/>
                <w:numId w:val="0"/>
              </w:numPr>
              <w:bidi w:val="0"/>
              <w:ind w:left="0" w:leftChars="0" w:firstLine="0" w:firstLineChars="0"/>
              <w:jc w:val="center"/>
              <w:rPr>
                <w:rFonts w:hint="eastAsia" w:asciiTheme="minorHAnsi" w:hAnsiTheme="minorHAnsi" w:eastAsiaTheme="minorEastAsia" w:cstheme="minorBidi"/>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淬火介质</w:t>
            </w:r>
          </w:p>
        </w:tc>
        <w:tc>
          <w:tcPr>
            <w:tcW w:w="1432" w:type="dxa"/>
            <w:tcBorders>
              <w:tl2br w:val="nil"/>
              <w:tr2bl w:val="nil"/>
            </w:tcBorders>
            <w:vAlign w:val="center"/>
          </w:tcPr>
          <w:p>
            <w:pPr>
              <w:numPr>
                <w:ilvl w:val="0"/>
                <w:numId w:val="0"/>
              </w:numPr>
              <w:bidi w:val="0"/>
              <w:ind w:left="0" w:leftChars="0" w:firstLine="0" w:firstLineChars="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无机水溶性</w:t>
            </w:r>
          </w:p>
          <w:p>
            <w:pPr>
              <w:numPr>
                <w:ilvl w:val="0"/>
                <w:numId w:val="0"/>
              </w:numPr>
              <w:bidi w:val="0"/>
              <w:ind w:left="0" w:leftChars="0" w:firstLine="0" w:firstLineChars="0"/>
              <w:jc w:val="center"/>
              <w:rPr>
                <w:rFonts w:hint="eastAsia" w:asciiTheme="minorHAnsi" w:hAnsiTheme="minorHAnsi" w:eastAsiaTheme="minorEastAsia" w:cstheme="minorBidi"/>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淬火介质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碳排放比较</w:t>
            </w:r>
          </w:p>
        </w:tc>
        <w:tc>
          <w:tcPr>
            <w:tcW w:w="1332" w:type="dxa"/>
            <w:tcBorders>
              <w:tl2br w:val="nil"/>
              <w:tr2bl w:val="nil"/>
            </w:tcBorders>
            <w:vAlign w:val="top"/>
          </w:tcPr>
          <w:p>
            <w:pPr>
              <w:jc w:val="both"/>
              <w:rPr>
                <w:sz w:val="18"/>
                <w:szCs w:val="18"/>
                <w:vertAlign w:val="baseline"/>
              </w:rPr>
            </w:pPr>
            <w:r>
              <w:rPr>
                <w:rFonts w:hint="eastAsia"/>
                <w:sz w:val="18"/>
                <w:szCs w:val="18"/>
              </w:rPr>
              <w:t>油烟中含有一氧化碳、二氧化碳、粉尘，高碳污染介质</w:t>
            </w:r>
          </w:p>
        </w:tc>
        <w:tc>
          <w:tcPr>
            <w:tcW w:w="1527" w:type="dxa"/>
            <w:tcBorders>
              <w:tl2br w:val="nil"/>
              <w:tr2bl w:val="nil"/>
            </w:tcBorders>
            <w:vAlign w:val="top"/>
          </w:tcPr>
          <w:p>
            <w:pPr>
              <w:jc w:val="both"/>
              <w:rPr>
                <w:rFonts w:asciiTheme="minorHAnsi" w:hAnsiTheme="minorHAnsi" w:eastAsiaTheme="minorEastAsia" w:cstheme="minorBidi"/>
                <w:kern w:val="2"/>
                <w:sz w:val="21"/>
                <w:szCs w:val="24"/>
                <w:lang w:val="en-US" w:eastAsia="zh-CN" w:bidi="ar-SA"/>
              </w:rPr>
            </w:pPr>
            <w:r>
              <w:rPr>
                <w:rFonts w:hint="eastAsia"/>
                <w:sz w:val="18"/>
                <w:szCs w:val="18"/>
              </w:rPr>
              <w:t>排出气体中无二氧化碳排出，属低碳介质</w:t>
            </w:r>
          </w:p>
        </w:tc>
        <w:tc>
          <w:tcPr>
            <w:tcW w:w="1429" w:type="dxa"/>
            <w:tcBorders>
              <w:tl2br w:val="nil"/>
              <w:tr2bl w:val="nil"/>
            </w:tcBorders>
            <w:vAlign w:val="top"/>
          </w:tcPr>
          <w:p>
            <w:pPr>
              <w:jc w:val="both"/>
              <w:rPr>
                <w:rFonts w:hint="eastAsia"/>
                <w:sz w:val="18"/>
                <w:szCs w:val="18"/>
              </w:rPr>
            </w:pPr>
            <w:r>
              <w:rPr>
                <w:rFonts w:hint="eastAsia"/>
                <w:sz w:val="18"/>
                <w:szCs w:val="18"/>
              </w:rPr>
              <w:t>排出气体中无二氧化碳排出，属低碳介质</w:t>
            </w:r>
          </w:p>
          <w:p>
            <w:pPr>
              <w:jc w:val="both"/>
              <w:rPr>
                <w:sz w:val="18"/>
                <w:szCs w:val="18"/>
                <w:vertAlign w:val="baseline"/>
              </w:rPr>
            </w:pPr>
          </w:p>
        </w:tc>
        <w:tc>
          <w:tcPr>
            <w:tcW w:w="1430" w:type="dxa"/>
            <w:tcBorders>
              <w:tl2br w:val="nil"/>
              <w:tr2bl w:val="nil"/>
            </w:tcBorders>
            <w:vAlign w:val="top"/>
          </w:tcPr>
          <w:p>
            <w:pPr>
              <w:jc w:val="both"/>
              <w:rPr>
                <w:rFonts w:hint="eastAsia"/>
                <w:sz w:val="18"/>
                <w:szCs w:val="18"/>
              </w:rPr>
            </w:pPr>
            <w:r>
              <w:rPr>
                <w:rFonts w:hint="eastAsia"/>
                <w:sz w:val="18"/>
                <w:szCs w:val="18"/>
              </w:rPr>
              <w:t>排出气体中无二氧化碳排出，属低碳介质</w:t>
            </w:r>
          </w:p>
          <w:p>
            <w:pPr>
              <w:jc w:val="both"/>
              <w:rPr>
                <w:sz w:val="18"/>
                <w:szCs w:val="18"/>
                <w:vertAlign w:val="baseline"/>
              </w:rPr>
            </w:pPr>
          </w:p>
        </w:tc>
        <w:tc>
          <w:tcPr>
            <w:tcW w:w="1432" w:type="dxa"/>
            <w:tcBorders>
              <w:tl2br w:val="nil"/>
              <w:tr2bl w:val="nil"/>
            </w:tcBorders>
            <w:vAlign w:val="top"/>
          </w:tcPr>
          <w:p>
            <w:pPr>
              <w:jc w:val="both"/>
              <w:rPr>
                <w:sz w:val="18"/>
                <w:szCs w:val="18"/>
                <w:vertAlign w:val="baseline"/>
              </w:rPr>
            </w:pPr>
            <w:r>
              <w:rPr>
                <w:rFonts w:hint="eastAsia"/>
                <w:sz w:val="18"/>
                <w:szCs w:val="18"/>
              </w:rPr>
              <w:t>排出气体中无二氧化碳排出，属低碳介质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对操作者影响</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影响环境、影响操作者身心健康</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环境清洁、无污染、对操作者无危害</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广泛应用于医药、食品、化妆品，对环境、操作者无危害</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广泛应用于食品、化妆品中，对操作者无危害</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对环境、操作者没有很大影响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429" w:type="dxa"/>
            <w:tcBorders>
              <w:tl2br w:val="nil"/>
              <w:tr2bl w:val="nil"/>
            </w:tcBorders>
            <w:vAlign w:val="center"/>
          </w:tcPr>
          <w:p>
            <w:pPr>
              <w:jc w:val="center"/>
              <w:rPr>
                <w:rFonts w:hint="default" w:eastAsiaTheme="minorEastAsia"/>
                <w:sz w:val="18"/>
                <w:szCs w:val="18"/>
                <w:vertAlign w:val="baseline"/>
                <w:lang w:val="en-US" w:eastAsia="zh-CN"/>
              </w:rPr>
            </w:pPr>
            <w:r>
              <w:rPr>
                <w:rFonts w:hint="eastAsia" w:ascii="宋体" w:hAnsi="宋体" w:eastAsia="宋体" w:cs="宋体"/>
                <w:b/>
                <w:bCs/>
                <w:sz w:val="18"/>
                <w:szCs w:val="18"/>
                <w:vertAlign w:val="baseline"/>
                <w:lang w:val="en-US" w:eastAsia="zh-CN"/>
              </w:rPr>
              <w:t>VOC排放比较</w:t>
            </w:r>
          </w:p>
        </w:tc>
        <w:tc>
          <w:tcPr>
            <w:tcW w:w="1332" w:type="dxa"/>
            <w:tcBorders>
              <w:tl2br w:val="nil"/>
              <w:tr2bl w:val="nil"/>
            </w:tcBorders>
            <w:vAlign w:val="top"/>
          </w:tcPr>
          <w:p>
            <w:pPr>
              <w:jc w:val="both"/>
              <w:rPr>
                <w:rFonts w:hint="default" w:eastAsiaTheme="minorEastAsia"/>
                <w:sz w:val="18"/>
                <w:szCs w:val="18"/>
                <w:vertAlign w:val="baseline"/>
                <w:lang w:val="en-US" w:eastAsia="zh-CN"/>
              </w:rPr>
            </w:pPr>
            <w:r>
              <w:rPr>
                <w:rFonts w:hint="eastAsia"/>
                <w:sz w:val="18"/>
                <w:szCs w:val="18"/>
                <w:vertAlign w:val="baseline"/>
                <w:lang w:val="en-US" w:eastAsia="zh-CN"/>
              </w:rPr>
              <w:t>VOC数值很大，是属于未来限制使用的热处理介质</w:t>
            </w:r>
          </w:p>
        </w:tc>
        <w:tc>
          <w:tcPr>
            <w:tcW w:w="1527" w:type="dxa"/>
            <w:tcBorders>
              <w:tl2br w:val="nil"/>
              <w:tr2bl w:val="nil"/>
            </w:tcBorders>
            <w:vAlign w:val="top"/>
          </w:tcPr>
          <w:p>
            <w:pPr>
              <w:jc w:val="both"/>
              <w:rPr>
                <w:rFonts w:hint="default" w:eastAsiaTheme="minorEastAsia"/>
                <w:sz w:val="18"/>
                <w:szCs w:val="18"/>
                <w:vertAlign w:val="baseline"/>
                <w:lang w:val="en-US" w:eastAsia="zh-CN"/>
              </w:rPr>
            </w:pPr>
            <w:r>
              <w:rPr>
                <w:rFonts w:hint="eastAsia"/>
                <w:sz w:val="18"/>
                <w:szCs w:val="18"/>
                <w:vertAlign w:val="baseline"/>
                <w:lang w:val="en-US" w:eastAsia="zh-CN"/>
              </w:rPr>
              <w:t>VOC级别是淬火油的十分之一，是美国等最早推广使用介质</w:t>
            </w:r>
          </w:p>
        </w:tc>
        <w:tc>
          <w:tcPr>
            <w:tcW w:w="1429" w:type="dxa"/>
            <w:tcBorders>
              <w:tl2br w:val="nil"/>
              <w:tr2bl w:val="nil"/>
            </w:tcBorders>
            <w:vAlign w:val="top"/>
          </w:tcPr>
          <w:p>
            <w:pPr>
              <w:jc w:val="both"/>
              <w:rPr>
                <w:rFonts w:hint="default" w:eastAsiaTheme="minorEastAsia"/>
                <w:sz w:val="18"/>
                <w:szCs w:val="18"/>
                <w:vertAlign w:val="baseline"/>
                <w:lang w:val="en-US" w:eastAsia="zh-CN"/>
              </w:rPr>
            </w:pPr>
            <w:r>
              <w:rPr>
                <w:rFonts w:hint="eastAsia"/>
                <w:sz w:val="18"/>
                <w:szCs w:val="18"/>
                <w:vertAlign w:val="baseline"/>
                <w:lang w:val="en-US" w:eastAsia="zh-CN"/>
              </w:rPr>
              <w:t>VOC最小，易于推广</w:t>
            </w:r>
          </w:p>
        </w:tc>
        <w:tc>
          <w:tcPr>
            <w:tcW w:w="1430" w:type="dxa"/>
            <w:tcBorders>
              <w:tl2br w:val="nil"/>
              <w:tr2bl w:val="nil"/>
            </w:tcBorders>
            <w:vAlign w:val="top"/>
          </w:tcPr>
          <w:p>
            <w:pPr>
              <w:jc w:val="both"/>
              <w:rPr>
                <w:rFonts w:hint="default" w:eastAsiaTheme="minorEastAsia"/>
                <w:sz w:val="18"/>
                <w:szCs w:val="18"/>
                <w:vertAlign w:val="baseline"/>
                <w:lang w:val="en-US" w:eastAsia="zh-CN"/>
              </w:rPr>
            </w:pPr>
            <w:r>
              <w:rPr>
                <w:rFonts w:hint="eastAsia"/>
                <w:sz w:val="18"/>
                <w:szCs w:val="18"/>
                <w:vertAlign w:val="baseline"/>
                <w:lang w:val="en-US" w:eastAsia="zh-CN"/>
              </w:rPr>
              <w:t>VOC数值很小，有害气体排放较少</w:t>
            </w:r>
          </w:p>
        </w:tc>
        <w:tc>
          <w:tcPr>
            <w:tcW w:w="1432" w:type="dxa"/>
            <w:tcBorders>
              <w:tl2br w:val="nil"/>
              <w:tr2bl w:val="nil"/>
            </w:tcBorders>
            <w:vAlign w:val="top"/>
          </w:tcPr>
          <w:p>
            <w:pPr>
              <w:jc w:val="both"/>
              <w:rPr>
                <w:sz w:val="18"/>
                <w:szCs w:val="18"/>
                <w:vertAlign w:val="baseline"/>
              </w:rPr>
            </w:pPr>
            <w:r>
              <w:rPr>
                <w:rFonts w:hint="eastAsia"/>
                <w:sz w:val="18"/>
                <w:szCs w:val="18"/>
                <w:vertAlign w:val="baseline"/>
                <w:lang w:val="en-US" w:eastAsia="zh-CN"/>
              </w:rPr>
              <w:t>VOC数值较小，有害气体排放相对淬火油较少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操作复杂性比较</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操作简单、维护简单、检测简单</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调整浓度、温度，搅拌，需检测、跟踪</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调整浓度、搅拌、需检测、跟踪</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维护、检测要求高，浓度变化较大</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操作、维护都简单，不易发臭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后续废液处理比较</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废油报废</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废液达到年限，转入污水处理</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废液另行处理</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废液另行理，更安全</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可以多年使用，无需更换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带出量比较</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相对较多</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原液稀释使用，相对较少</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与无机介质比带出量较多</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带出量适中</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带出量少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经济性比较</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一次性投入较多</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稀释使用，一次性投入成本是淬火油1/5</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原材料成本高，成本相对高</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原材料成本低，价格便宜</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成薄膜，添加量少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淬火钢材范围</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淬火范围较广，几乎所有钢材。</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适用中低碳钢、中低合金钢</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类油介质，适用于不想用淬火油的高合金钢</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适用于轴承正火、高铬材质淬火</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适用于中大件，淬透性差的材料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429" w:type="dxa"/>
            <w:tcBorders>
              <w:tl2br w:val="nil"/>
              <w:tr2bl w:val="nil"/>
            </w:tcBorders>
            <w:vAlign w:val="center"/>
          </w:tcPr>
          <w:p>
            <w:pPr>
              <w:jc w:val="center"/>
              <w:rPr>
                <w:sz w:val="18"/>
                <w:szCs w:val="18"/>
                <w:vertAlign w:val="baseline"/>
              </w:rPr>
            </w:pPr>
            <w:r>
              <w:rPr>
                <w:rFonts w:hint="eastAsia" w:ascii="宋体" w:hAnsi="宋体" w:eastAsia="宋体" w:cs="宋体"/>
                <w:b/>
                <w:bCs/>
                <w:sz w:val="18"/>
                <w:szCs w:val="18"/>
                <w:vertAlign w:val="baseline"/>
                <w:lang w:val="en-US" w:eastAsia="zh-CN"/>
              </w:rPr>
              <w:t>安全性比较</w:t>
            </w:r>
          </w:p>
        </w:tc>
        <w:tc>
          <w:tcPr>
            <w:tcW w:w="13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产生火灾危害</w:t>
            </w:r>
          </w:p>
        </w:tc>
        <w:tc>
          <w:tcPr>
            <w:tcW w:w="1527"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不燃烧、无烟气、无火灾危险</w:t>
            </w:r>
          </w:p>
        </w:tc>
        <w:tc>
          <w:tcPr>
            <w:tcW w:w="1429"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不燃烧、无烟气、无火灾危险</w:t>
            </w:r>
          </w:p>
        </w:tc>
        <w:tc>
          <w:tcPr>
            <w:tcW w:w="1430"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不燃烧、无烟气、无火灾危险</w:t>
            </w:r>
          </w:p>
        </w:tc>
        <w:tc>
          <w:tcPr>
            <w:tcW w:w="1432" w:type="dxa"/>
            <w:tcBorders>
              <w:tl2br w:val="nil"/>
              <w:tr2bl w:val="nil"/>
            </w:tcBorders>
            <w:vAlign w:val="top"/>
          </w:tcPr>
          <w:p>
            <w:pPr>
              <w:jc w:val="both"/>
              <w:rPr>
                <w:sz w:val="18"/>
                <w:szCs w:val="18"/>
                <w:vertAlign w:val="baseline"/>
              </w:rPr>
            </w:pPr>
            <w:r>
              <w:rPr>
                <w:rFonts w:hint="eastAsia" w:ascii="宋体" w:hAnsi="宋体" w:eastAsia="宋体" w:cs="宋体"/>
                <w:b w:val="0"/>
                <w:bCs w:val="0"/>
                <w:sz w:val="18"/>
                <w:szCs w:val="18"/>
                <w:vertAlign w:val="baseline"/>
                <w:lang w:val="en-US" w:eastAsia="zh-CN"/>
              </w:rPr>
              <w:t>无毒、无烟、无火灾危险</w:t>
            </w:r>
          </w:p>
        </w:tc>
      </w:tr>
    </w:tbl>
    <w:p>
      <w:pPr>
        <w:numPr>
          <w:ilvl w:val="0"/>
          <w:numId w:val="0"/>
        </w:numPr>
        <w:bidi w:val="0"/>
        <w:jc w:val="left"/>
        <w:rPr>
          <w:rFonts w:hint="eastAsia" w:ascii="宋体" w:hAnsi="宋体" w:eastAsia="宋体" w:cs="宋体"/>
          <w:b w:val="0"/>
          <w:bCs w:val="0"/>
          <w:sz w:val="21"/>
          <w:szCs w:val="21"/>
          <w:lang w:val="en-US" w:eastAsia="zh-CN"/>
        </w:rPr>
      </w:pPr>
    </w:p>
    <w:p>
      <w:pPr>
        <w:numPr>
          <w:ilvl w:val="0"/>
          <w:numId w:val="0"/>
        </w:numPr>
        <w:bidi w:val="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通过列表分析结论如下：</w:t>
      </w:r>
    </w:p>
    <w:p>
      <w:pPr>
        <w:numPr>
          <w:ilvl w:val="0"/>
          <w:numId w:val="0"/>
        </w:numPr>
        <w:bidi w:val="0"/>
        <w:ind w:firstLine="421"/>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热处理淬火油，产生油烟、有火灾危害，高碳排放，VOC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数值巨大，属于未来限制使用的热处理淬火介质。</w:t>
      </w:r>
    </w:p>
    <w:p>
      <w:pPr>
        <w:numPr>
          <w:ilvl w:val="0"/>
          <w:numId w:val="0"/>
        </w:numPr>
        <w:bidi w:val="0"/>
        <w:ind w:firstLine="421"/>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PAG水溶性淬火介质是水溶性淬火介质，在我国使用最早、最长的一种，低碳、工艺成熟、耐用，VOC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数值低是不可多得的热处理淬火介质。</w:t>
      </w:r>
    </w:p>
    <w:p>
      <w:pPr>
        <w:numPr>
          <w:ilvl w:val="0"/>
          <w:numId w:val="0"/>
        </w:numPr>
        <w:bidi w:val="0"/>
        <w:ind w:firstLine="421"/>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PVP水溶性淬火介质，由于其V</w:t>
      </w:r>
      <w:r>
        <w:rPr>
          <w:rFonts w:hint="eastAsia" w:ascii="宋体" w:hAnsi="宋体" w:eastAsia="宋体" w:cs="宋体"/>
          <w:b w:val="0"/>
          <w:bCs w:val="0"/>
          <w:sz w:val="21"/>
          <w:szCs w:val="21"/>
          <w:vertAlign w:val="subscript"/>
          <w:lang w:val="en-US" w:eastAsia="zh-CN"/>
        </w:rPr>
        <w:t>300</w:t>
      </w:r>
      <w:r>
        <w:rPr>
          <w:rFonts w:hint="eastAsia" w:ascii="宋体" w:hAnsi="宋体" w:eastAsia="宋体" w:cs="宋体"/>
          <w:b w:val="0"/>
          <w:bCs w:val="0"/>
          <w:sz w:val="21"/>
          <w:szCs w:val="21"/>
          <w:vertAlign w:val="baseline"/>
          <w:lang w:val="en-US" w:eastAsia="zh-CN"/>
        </w:rPr>
        <w:t>冷速接近油，</w:t>
      </w:r>
      <w:r>
        <w:rPr>
          <w:rFonts w:hint="eastAsia" w:ascii="宋体" w:hAnsi="宋体" w:eastAsia="宋体" w:cs="宋体"/>
          <w:b w:val="0"/>
          <w:bCs w:val="0"/>
          <w:sz w:val="21"/>
          <w:szCs w:val="21"/>
          <w:lang w:val="en-US" w:eastAsia="zh-CN"/>
        </w:rPr>
        <w:t>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数值非常低</w:t>
      </w:r>
      <w:r>
        <w:rPr>
          <w:rFonts w:hint="eastAsia" w:ascii="宋体" w:hAnsi="宋体" w:eastAsia="宋体" w:cs="宋体"/>
          <w:b w:val="0"/>
          <w:bCs w:val="0"/>
          <w:sz w:val="21"/>
          <w:szCs w:val="21"/>
          <w:vertAlign w:val="baseline"/>
          <w:lang w:val="en-US" w:eastAsia="zh-CN"/>
        </w:rPr>
        <w:t>，用于代替淬火油，也是一种低碳的淬火介质。</w:t>
      </w:r>
    </w:p>
    <w:p>
      <w:pPr>
        <w:numPr>
          <w:ilvl w:val="0"/>
          <w:numId w:val="0"/>
        </w:numPr>
        <w:bidi w:val="0"/>
        <w:ind w:firstLine="421"/>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PEO水溶性淬火介质，环保型、低碳性，非常优越，适用面窄，</w:t>
      </w:r>
      <w:r>
        <w:rPr>
          <w:rFonts w:hint="eastAsia" w:ascii="宋体" w:hAnsi="宋体" w:eastAsia="宋体" w:cs="宋体"/>
          <w:b w:val="0"/>
          <w:bCs w:val="0"/>
          <w:sz w:val="21"/>
          <w:szCs w:val="21"/>
          <w:lang w:val="en-US" w:eastAsia="zh-CN"/>
        </w:rPr>
        <w:t>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数值很少，</w:t>
      </w:r>
      <w:r>
        <w:rPr>
          <w:rFonts w:hint="eastAsia" w:ascii="宋体" w:hAnsi="宋体" w:eastAsia="宋体" w:cs="宋体"/>
          <w:b w:val="0"/>
          <w:bCs w:val="0"/>
          <w:sz w:val="21"/>
          <w:szCs w:val="21"/>
          <w:vertAlign w:val="baseline"/>
          <w:lang w:val="en-US" w:eastAsia="zh-CN"/>
        </w:rPr>
        <w:t>用于高铬铸铁淬火、轴承正火等。</w:t>
      </w:r>
    </w:p>
    <w:p>
      <w:pPr>
        <w:numPr>
          <w:ilvl w:val="0"/>
          <w:numId w:val="0"/>
        </w:numPr>
        <w:bidi w:val="0"/>
        <w:ind w:firstLine="421"/>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无机水溶性淬火介质，也是近几年应用相对多的热处理介质，</w:t>
      </w:r>
      <w:r>
        <w:rPr>
          <w:rFonts w:hint="eastAsia" w:ascii="宋体" w:hAnsi="宋体" w:eastAsia="宋体" w:cs="宋体"/>
          <w:b w:val="0"/>
          <w:bCs w:val="0"/>
          <w:sz w:val="21"/>
          <w:szCs w:val="21"/>
          <w:lang w:val="en-US" w:eastAsia="zh-CN"/>
        </w:rPr>
        <w:t>VOC</w:t>
      </w:r>
      <w:r>
        <w:rPr>
          <w:rFonts w:hint="eastAsia" w:ascii="宋体" w:hAnsi="宋体" w:eastAsia="宋体" w:cs="宋体"/>
          <w:b w:val="0"/>
          <w:bCs w:val="0"/>
          <w:sz w:val="21"/>
          <w:szCs w:val="21"/>
          <w:vertAlign w:val="subscript"/>
          <w:lang w:val="en-US" w:eastAsia="zh-CN"/>
        </w:rPr>
        <w:t>S</w:t>
      </w:r>
      <w:r>
        <w:rPr>
          <w:rFonts w:hint="eastAsia" w:ascii="宋体" w:hAnsi="宋体" w:eastAsia="宋体" w:cs="宋体"/>
          <w:b w:val="0"/>
          <w:bCs w:val="0"/>
          <w:sz w:val="21"/>
          <w:szCs w:val="21"/>
          <w:lang w:val="en-US" w:eastAsia="zh-CN"/>
        </w:rPr>
        <w:t>数值相对少，</w:t>
      </w:r>
      <w:r>
        <w:rPr>
          <w:rFonts w:hint="eastAsia" w:ascii="宋体" w:hAnsi="宋体" w:eastAsia="宋体" w:cs="宋体"/>
          <w:b w:val="0"/>
          <w:bCs w:val="0"/>
          <w:sz w:val="21"/>
          <w:szCs w:val="21"/>
          <w:vertAlign w:val="baseline"/>
          <w:lang w:val="en-US" w:eastAsia="zh-CN"/>
        </w:rPr>
        <w:t>由于其低碳、环保、带出量少、操作维护简洁、应用淬火钢种分为增加等显著优点，是未来发展方向。</w:t>
      </w:r>
    </w:p>
    <w:p>
      <w:pPr>
        <w:numPr>
          <w:ilvl w:val="0"/>
          <w:numId w:val="0"/>
        </w:numPr>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典型案例：</w:t>
      </w:r>
    </w:p>
    <w:p>
      <w:pPr>
        <w:numPr>
          <w:ilvl w:val="0"/>
          <w:numId w:val="0"/>
        </w:num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山西长治清华机械厂，是中国航天科技集团公司，大型企业，隶属烘干运载火箭技术研究院，主要从事航天地面设备，起落架、液压支架等，材质27siMn、35CrMo,应用辽宁海明JX-6678无机水溶性淬火介质，硬度良好，各种理化指标均已达标，见图片：</w:t>
      </w:r>
    </w:p>
    <w:p>
      <w:pPr>
        <w:ind w:firstLine="271"/>
        <w:jc w:val="left"/>
        <w:rPr>
          <w:sz w:val="21"/>
          <w:szCs w:val="21"/>
        </w:rPr>
      </w:pPr>
      <w:r>
        <w:rPr>
          <w:lang w:val="en-US" w:eastAsia="zh-CN"/>
        </w:rPr>
        <w:drawing>
          <wp:anchor distT="0" distB="0" distL="114300" distR="114300" simplePos="0" relativeHeight="251659264" behindDoc="0" locked="0" layoutInCell="1" allowOverlap="1">
            <wp:simplePos x="0" y="0"/>
            <wp:positionH relativeFrom="column">
              <wp:posOffset>2705100</wp:posOffset>
            </wp:positionH>
            <wp:positionV relativeFrom="paragraph">
              <wp:posOffset>59690</wp:posOffset>
            </wp:positionV>
            <wp:extent cx="2992120" cy="1440180"/>
            <wp:effectExtent l="0" t="0" r="10160" b="7620"/>
            <wp:wrapNone/>
            <wp:docPr id="2" name="图片 2" descr="微信图片_2023052913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9133415"/>
                    <pic:cNvPicPr>
                      <a:picLocks noChangeAspect="1"/>
                    </pic:cNvPicPr>
                  </pic:nvPicPr>
                  <pic:blipFill>
                    <a:blip r:embed="rId8"/>
                    <a:stretch>
                      <a:fillRect/>
                    </a:stretch>
                  </pic:blipFill>
                  <pic:spPr>
                    <a:xfrm>
                      <a:off x="0" y="0"/>
                      <a:ext cx="2992120" cy="1440180"/>
                    </a:xfrm>
                    <a:prstGeom prst="rect">
                      <a:avLst/>
                    </a:prstGeom>
                  </pic:spPr>
                </pic:pic>
              </a:graphicData>
            </a:graphic>
          </wp:anchor>
        </w:drawing>
      </w:r>
      <w:r>
        <w:rPr>
          <w:lang w:val="en-US" w:eastAsia="zh-CN"/>
        </w:rPr>
        <w:drawing>
          <wp:anchor distT="0" distB="0" distL="114300" distR="114300" simplePos="0" relativeHeight="251660288" behindDoc="0" locked="0" layoutInCell="1" allowOverlap="1">
            <wp:simplePos x="0" y="0"/>
            <wp:positionH relativeFrom="column">
              <wp:posOffset>-518160</wp:posOffset>
            </wp:positionH>
            <wp:positionV relativeFrom="paragraph">
              <wp:posOffset>50165</wp:posOffset>
            </wp:positionV>
            <wp:extent cx="2992755" cy="1440180"/>
            <wp:effectExtent l="0" t="0" r="9525" b="7620"/>
            <wp:wrapNone/>
            <wp:docPr id="3" name="图片 3" descr="微信图片_2023052913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529133404"/>
                    <pic:cNvPicPr>
                      <a:picLocks noChangeAspect="1"/>
                    </pic:cNvPicPr>
                  </pic:nvPicPr>
                  <pic:blipFill>
                    <a:blip r:embed="rId9"/>
                    <a:stretch>
                      <a:fillRect/>
                    </a:stretch>
                  </pic:blipFill>
                  <pic:spPr>
                    <a:xfrm>
                      <a:off x="0" y="0"/>
                      <a:ext cx="2992755" cy="1440180"/>
                    </a:xfrm>
                    <a:prstGeom prst="rect">
                      <a:avLst/>
                    </a:prstGeom>
                  </pic:spPr>
                </pic:pic>
              </a:graphicData>
            </a:graphic>
          </wp:anchor>
        </w:drawing>
      </w: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r>
        <w:rPr>
          <w:lang w:val="en-US" w:eastAsia="zh-CN"/>
        </w:rPr>
        <w:drawing>
          <wp:anchor distT="0" distB="0" distL="114300" distR="114300" simplePos="0" relativeHeight="251661312" behindDoc="0" locked="0" layoutInCell="1" allowOverlap="1">
            <wp:simplePos x="0" y="0"/>
            <wp:positionH relativeFrom="column">
              <wp:posOffset>922020</wp:posOffset>
            </wp:positionH>
            <wp:positionV relativeFrom="paragraph">
              <wp:posOffset>11430</wp:posOffset>
            </wp:positionV>
            <wp:extent cx="2990850" cy="1440180"/>
            <wp:effectExtent l="0" t="0" r="11430" b="7620"/>
            <wp:wrapNone/>
            <wp:docPr id="1" name="图片 1" descr="微信图片_2023052913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9133424"/>
                    <pic:cNvPicPr>
                      <a:picLocks noChangeAspect="1"/>
                    </pic:cNvPicPr>
                  </pic:nvPicPr>
                  <pic:blipFill>
                    <a:blip r:embed="rId10"/>
                    <a:stretch>
                      <a:fillRect/>
                    </a:stretch>
                  </pic:blipFill>
                  <pic:spPr>
                    <a:xfrm>
                      <a:off x="0" y="0"/>
                      <a:ext cx="2990850" cy="1440180"/>
                    </a:xfrm>
                    <a:prstGeom prst="rect">
                      <a:avLst/>
                    </a:prstGeom>
                  </pic:spPr>
                </pic:pic>
              </a:graphicData>
            </a:graphic>
          </wp:anchor>
        </w:drawing>
      </w: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0"/>
        </w:numPr>
        <w:bidi w:val="0"/>
        <w:jc w:val="left"/>
        <w:rPr>
          <w:rFonts w:hint="eastAsia" w:ascii="宋体" w:hAnsi="宋体" w:eastAsia="宋体" w:cs="宋体"/>
          <w:b w:val="0"/>
          <w:bCs w:val="0"/>
          <w:vertAlign w:val="baseline"/>
          <w:lang w:val="en-US" w:eastAsia="zh-CN"/>
        </w:rPr>
      </w:pPr>
    </w:p>
    <w:p>
      <w:pPr>
        <w:numPr>
          <w:ilvl w:val="0"/>
          <w:numId w:val="0"/>
        </w:numPr>
        <w:bidi w:val="0"/>
        <w:jc w:val="left"/>
        <w:rPr>
          <w:rFonts w:hint="eastAsia" w:ascii="宋体" w:hAnsi="宋体" w:eastAsia="宋体" w:cs="宋体"/>
          <w:b w:val="0"/>
          <w:bCs w:val="0"/>
          <w:vertAlign w:val="baseline"/>
          <w:lang w:val="en-US" w:eastAsia="zh-CN"/>
        </w:rPr>
      </w:pPr>
    </w:p>
    <w:p>
      <w:pPr>
        <w:numPr>
          <w:ilvl w:val="0"/>
          <w:numId w:val="0"/>
        </w:numPr>
        <w:bidi w:val="0"/>
        <w:ind w:firstLine="421"/>
        <w:jc w:val="left"/>
        <w:rPr>
          <w:rFonts w:hint="eastAsia" w:ascii="宋体" w:hAnsi="宋体" w:eastAsia="宋体" w:cs="宋体"/>
          <w:b w:val="0"/>
          <w:bCs w:val="0"/>
          <w:vertAlign w:val="baseline"/>
          <w:lang w:val="en-US" w:eastAsia="zh-CN"/>
        </w:rPr>
      </w:pPr>
    </w:p>
    <w:p>
      <w:pPr>
        <w:numPr>
          <w:ilvl w:val="0"/>
          <w:numId w:val="4"/>
        </w:numPr>
        <w:bidi w:val="0"/>
        <w:ind w:left="0" w:leftChars="0" w:firstLine="0" w:firstLineChars="0"/>
        <w:jc w:val="left"/>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 xml:space="preserve">  热处理淬火介质发展及方向</w:t>
      </w:r>
    </w:p>
    <w:p>
      <w:pPr>
        <w:numPr>
          <w:ilvl w:val="0"/>
          <w:numId w:val="0"/>
        </w:numPr>
        <w:bidi w:val="0"/>
        <w:ind w:leftChars="0" w:firstLine="421"/>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未来热处理淬火介质发展方向，一定是具备低碳、减排、环保、清洁、无污染的方向。结合国内外的发展情况，淬火油会由生物降解淬火油代替矿物淬火油，各种性能各异的水溶性淬火介质代替热处理淬火油。</w:t>
      </w:r>
    </w:p>
    <w:p>
      <w:pPr>
        <w:numPr>
          <w:ilvl w:val="0"/>
          <w:numId w:val="0"/>
        </w:numPr>
        <w:bidi w:val="0"/>
        <w:ind w:leftChars="0" w:firstLine="421"/>
        <w:jc w:val="left"/>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结论：</w:t>
      </w:r>
    </w:p>
    <w:p>
      <w:pPr>
        <w:numPr>
          <w:ilvl w:val="0"/>
          <w:numId w:val="5"/>
        </w:numPr>
        <w:bidi w:val="0"/>
        <w:ind w:leftChars="0" w:firstLine="421"/>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水溶性淬火介质是当下及未来重点推广的热处理淬火介质，利于国家低碳减排事业发展。</w:t>
      </w:r>
    </w:p>
    <w:p>
      <w:pPr>
        <w:numPr>
          <w:ilvl w:val="0"/>
          <w:numId w:val="5"/>
        </w:numPr>
        <w:bidi w:val="0"/>
        <w:ind w:leftChars="0" w:firstLine="421"/>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1"/>
          <w:szCs w:val="21"/>
          <w:vertAlign w:val="baseline"/>
          <w:lang w:val="en-US" w:eastAsia="zh-CN"/>
        </w:rPr>
        <w:t>每种淬火介质各具优缺点，根据具体情况，择优选择</w:t>
      </w:r>
      <w:r>
        <w:rPr>
          <w:rFonts w:hint="eastAsia" w:ascii="宋体" w:hAnsi="宋体" w:eastAsia="宋体" w:cs="宋体"/>
          <w:b w:val="0"/>
          <w:bCs w:val="0"/>
          <w:sz w:val="28"/>
          <w:szCs w:val="28"/>
          <w:vertAlign w:val="baseline"/>
          <w:lang w:val="en-US" w:eastAsia="zh-CN"/>
        </w:rPr>
        <w:t>。</w:t>
      </w:r>
    </w:p>
    <w:p>
      <w:pPr>
        <w:numPr>
          <w:ilvl w:val="0"/>
          <w:numId w:val="0"/>
        </w:numPr>
        <w:bidi w:val="0"/>
        <w:ind w:leftChars="0" w:firstLine="421"/>
        <w:jc w:val="left"/>
        <w:rPr>
          <w:rFonts w:hint="eastAsia" w:ascii="宋体" w:hAnsi="宋体" w:eastAsia="宋体" w:cs="宋体"/>
          <w:b w:val="0"/>
          <w:bCs w:val="0"/>
          <w:sz w:val="28"/>
          <w:szCs w:val="28"/>
          <w:vertAlign w:val="baseline"/>
          <w:lang w:val="en-US" w:eastAsia="zh-CN"/>
        </w:rPr>
      </w:pPr>
    </w:p>
    <w:p>
      <w:pPr>
        <w:pStyle w:val="2"/>
        <w:jc w:val="both"/>
        <w:rPr>
          <w:rFonts w:hint="eastAsia"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参考文献：</w:t>
      </w:r>
    </w:p>
    <w:p>
      <w:pPr>
        <w:pStyle w:val="2"/>
        <w:jc w:val="both"/>
        <w:rPr>
          <w:rFonts w:hint="eastAsia" w:asciiTheme="minorEastAsia" w:hAnsiTheme="minorEastAsia" w:eastAsiaTheme="minorEastAsia" w:cstheme="minorEastAsia"/>
          <w:kern w:val="0"/>
          <w:sz w:val="18"/>
          <w:lang w:val="en-US" w:eastAsia="zh-CN"/>
        </w:rPr>
      </w:pPr>
      <w:r>
        <w:rPr>
          <w:rFonts w:hint="eastAsia" w:asciiTheme="minorEastAsia" w:hAnsiTheme="minorEastAsia" w:eastAsiaTheme="minorEastAsia" w:cstheme="minorEastAsia"/>
          <w:kern w:val="0"/>
          <w:sz w:val="18"/>
          <w:lang w:val="en-US" w:eastAsia="zh-CN"/>
        </w:rPr>
        <w:t>[1]佟晓辉-《热处理技术与装备》2014（035）003，中国热协代表团赴美国好富顿公司考察访问。</w:t>
      </w:r>
    </w:p>
    <w:p>
      <w:pPr>
        <w:pStyle w:val="2"/>
        <w:jc w:val="both"/>
        <w:rPr>
          <w:rFonts w:hint="eastAsia" w:asciiTheme="minorEastAsia" w:hAnsiTheme="minorEastAsia" w:eastAsiaTheme="minorEastAsia" w:cstheme="minorEastAsia"/>
          <w:kern w:val="0"/>
          <w:sz w:val="18"/>
          <w:lang w:val="en-US" w:eastAsia="zh-CN"/>
        </w:rPr>
      </w:pPr>
      <w:r>
        <w:rPr>
          <w:rFonts w:hint="eastAsia" w:asciiTheme="minorEastAsia" w:hAnsiTheme="minorEastAsia" w:eastAsiaTheme="minorEastAsia" w:cstheme="minorEastAsia"/>
          <w:kern w:val="0"/>
          <w:sz w:val="18"/>
          <w:lang w:val="en-US" w:eastAsia="zh-CN"/>
        </w:rPr>
        <w:t>[2]姜聚满-《PAG水溶性淬火介质与淬火油分析比较》，《金属热处理》2011（第7期）第36卷。</w:t>
      </w:r>
    </w:p>
    <w:p>
      <w:pPr>
        <w:pStyle w:val="2"/>
        <w:jc w:val="both"/>
        <w:rPr>
          <w:rFonts w:hint="eastAsia" w:asciiTheme="minorEastAsia" w:hAnsiTheme="minorEastAsia" w:eastAsiaTheme="minorEastAsia" w:cstheme="minorEastAsia"/>
          <w:kern w:val="0"/>
          <w:sz w:val="18"/>
          <w:lang w:val="en-US" w:eastAsia="zh-CN"/>
        </w:rPr>
      </w:pPr>
      <w:r>
        <w:rPr>
          <w:rFonts w:hint="eastAsia" w:asciiTheme="minorEastAsia" w:hAnsiTheme="minorEastAsia" w:eastAsiaTheme="minorEastAsia" w:cstheme="minorEastAsia"/>
          <w:kern w:val="0"/>
          <w:sz w:val="18"/>
          <w:lang w:val="en-US" w:eastAsia="zh-CN"/>
        </w:rPr>
        <w:t>[3]姜聚满-《应用淬火介质体会》，《金属加工》2013-增刊1，89-91页。</w:t>
      </w:r>
    </w:p>
    <w:sectPr>
      <w:headerReference r:id="rId3" w:type="default"/>
      <w:footerReference r:id="rId4" w:type="default"/>
      <w:pgSz w:w="11906" w:h="16838"/>
      <w:pgMar w:top="1440" w:right="1800" w:bottom="1440" w:left="1800" w:header="851" w:footer="62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val="en-US" w:eastAsia="zh-CN"/>
      </w:rPr>
    </w:pPr>
    <w:r>
      <w:rPr>
        <w:rFonts w:hint="eastAsia"/>
        <w:lang w:val="en-US" w:eastAsia="zh-CN"/>
      </w:rPr>
      <w:t>____________________________</w:t>
    </w:r>
  </w:p>
  <w:p>
    <w:pPr>
      <w:pStyle w:val="3"/>
      <w:rPr>
        <w:rFonts w:hint="default"/>
        <w:lang w:val="en-US" w:eastAsia="zh-CN"/>
      </w:rPr>
    </w:pPr>
  </w:p>
  <w:p>
    <w:pPr>
      <w:pStyle w:val="3"/>
      <w:rPr>
        <w:rFonts w:hint="default" w:ascii="黑体" w:hAnsi="黑体" w:eastAsia="黑体" w:cs="黑体"/>
        <w:b w:val="0"/>
        <w:bCs w:val="0"/>
        <w:sz w:val="15"/>
        <w:szCs w:val="15"/>
        <w:lang w:val="en-US" w:eastAsia="zh-CN"/>
      </w:rPr>
    </w:pPr>
    <w:r>
      <w:rPr>
        <w:rFonts w:hint="eastAsia" w:ascii="黑体" w:hAnsi="黑体" w:eastAsia="黑体" w:cs="黑体"/>
        <w:b w:val="0"/>
        <w:bCs w:val="0"/>
        <w:sz w:val="15"/>
        <w:szCs w:val="15"/>
        <w:lang w:val="en-US" w:eastAsia="zh-CN"/>
      </w:rPr>
      <w:t>作者简介：姜聚满（1961-），男，岫岩人，汉族，教授级高级工程师，化学系士学位，主要从事金属热处理的研究与开发，辽宁海明化学品有限公司总经理兼总工程师。多年来从事精细化工产品的开发、生产、销售。曾发表论文20篇，获得发明专利权2项。E-mail:haiming11168@163.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clear" w:pos="4153"/>
        <w:tab w:val="clear" w:pos="8306"/>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FB0D9"/>
    <w:multiLevelType w:val="singleLevel"/>
    <w:tmpl w:val="B5CFB0D9"/>
    <w:lvl w:ilvl="0" w:tentative="0">
      <w:start w:val="4"/>
      <w:numFmt w:val="decimal"/>
      <w:suff w:val="space"/>
      <w:lvlText w:val="%1."/>
      <w:lvlJc w:val="left"/>
    </w:lvl>
  </w:abstractNum>
  <w:abstractNum w:abstractNumId="1">
    <w:nsid w:val="D8E3DF6B"/>
    <w:multiLevelType w:val="singleLevel"/>
    <w:tmpl w:val="D8E3DF6B"/>
    <w:lvl w:ilvl="0" w:tentative="0">
      <w:start w:val="1"/>
      <w:numFmt w:val="bullet"/>
      <w:lvlText w:val=""/>
      <w:lvlJc w:val="left"/>
      <w:pPr>
        <w:tabs>
          <w:tab w:val="left" w:pos="420"/>
        </w:tabs>
        <w:ind w:left="840" w:hanging="420"/>
      </w:pPr>
      <w:rPr>
        <w:rFonts w:hint="default" w:ascii="Wingdings" w:hAnsi="Wingdings"/>
      </w:rPr>
    </w:lvl>
  </w:abstractNum>
  <w:abstractNum w:abstractNumId="2">
    <w:nsid w:val="22322089"/>
    <w:multiLevelType w:val="multilevel"/>
    <w:tmpl w:val="22322089"/>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3">
    <w:nsid w:val="59C64AAC"/>
    <w:multiLevelType w:val="singleLevel"/>
    <w:tmpl w:val="59C64AAC"/>
    <w:lvl w:ilvl="0" w:tentative="0">
      <w:start w:val="1"/>
      <w:numFmt w:val="decimal"/>
      <w:suff w:val="space"/>
      <w:lvlText w:val="%1."/>
      <w:lvlJc w:val="left"/>
      <w:pPr>
        <w:ind w:left="210"/>
      </w:pPr>
    </w:lvl>
  </w:abstractNum>
  <w:abstractNum w:abstractNumId="4">
    <w:nsid w:val="7B054FFE"/>
    <w:multiLevelType w:val="singleLevel"/>
    <w:tmpl w:val="7B054FFE"/>
    <w:lvl w:ilvl="0" w:tentative="0">
      <w:start w:val="1"/>
      <w:numFmt w:val="decimal"/>
      <w:lvlText w:val="%1."/>
      <w:lvlJc w:val="left"/>
      <w:pPr>
        <w:tabs>
          <w:tab w:val="left" w:pos="312"/>
        </w:tabs>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2NzM2OTVlMWZkYWJiMzEyMTZjNDhiYTQwZjExMDEifQ=="/>
  </w:docVars>
  <w:rsids>
    <w:rsidRoot w:val="23AE5940"/>
    <w:rsid w:val="002B3B19"/>
    <w:rsid w:val="00481611"/>
    <w:rsid w:val="00511786"/>
    <w:rsid w:val="005C1635"/>
    <w:rsid w:val="006138E3"/>
    <w:rsid w:val="006E031A"/>
    <w:rsid w:val="00761456"/>
    <w:rsid w:val="00766973"/>
    <w:rsid w:val="009B2379"/>
    <w:rsid w:val="009B5ECD"/>
    <w:rsid w:val="00AB49D1"/>
    <w:rsid w:val="00BF3526"/>
    <w:rsid w:val="00C761B4"/>
    <w:rsid w:val="00C905FF"/>
    <w:rsid w:val="00F45631"/>
    <w:rsid w:val="03BA2834"/>
    <w:rsid w:val="03E2554B"/>
    <w:rsid w:val="070C6A73"/>
    <w:rsid w:val="09307AB0"/>
    <w:rsid w:val="0C434B68"/>
    <w:rsid w:val="0F3D12BD"/>
    <w:rsid w:val="10AF5DB3"/>
    <w:rsid w:val="11456C04"/>
    <w:rsid w:val="12353631"/>
    <w:rsid w:val="125C52CE"/>
    <w:rsid w:val="146401FE"/>
    <w:rsid w:val="1833553E"/>
    <w:rsid w:val="1B4E33A9"/>
    <w:rsid w:val="1BC434B3"/>
    <w:rsid w:val="1DE2734F"/>
    <w:rsid w:val="1E1B5826"/>
    <w:rsid w:val="21854DF3"/>
    <w:rsid w:val="23AE5940"/>
    <w:rsid w:val="23FC3FAF"/>
    <w:rsid w:val="2610794F"/>
    <w:rsid w:val="27A11A99"/>
    <w:rsid w:val="29524986"/>
    <w:rsid w:val="2B557F18"/>
    <w:rsid w:val="2DE53D06"/>
    <w:rsid w:val="302C338A"/>
    <w:rsid w:val="31DA187A"/>
    <w:rsid w:val="32807201"/>
    <w:rsid w:val="362C6ECD"/>
    <w:rsid w:val="36396135"/>
    <w:rsid w:val="39CB4426"/>
    <w:rsid w:val="3A500759"/>
    <w:rsid w:val="3E7F6D30"/>
    <w:rsid w:val="3EA93D53"/>
    <w:rsid w:val="3EF141B2"/>
    <w:rsid w:val="3F1E2BD3"/>
    <w:rsid w:val="3F620D12"/>
    <w:rsid w:val="3FB62E0C"/>
    <w:rsid w:val="411B0DB0"/>
    <w:rsid w:val="4C485734"/>
    <w:rsid w:val="4E7F3FFB"/>
    <w:rsid w:val="53D22848"/>
    <w:rsid w:val="559919F4"/>
    <w:rsid w:val="55DB222D"/>
    <w:rsid w:val="5BD90E05"/>
    <w:rsid w:val="5D056A67"/>
    <w:rsid w:val="5DAD3649"/>
    <w:rsid w:val="5DD07337"/>
    <w:rsid w:val="60CD78EB"/>
    <w:rsid w:val="64974F66"/>
    <w:rsid w:val="65C23A09"/>
    <w:rsid w:val="6B5B2A3F"/>
    <w:rsid w:val="71B63E18"/>
    <w:rsid w:val="72ED55E5"/>
    <w:rsid w:val="7A022167"/>
    <w:rsid w:val="7A623210"/>
    <w:rsid w:val="7B5E51AC"/>
    <w:rsid w:val="7C272C56"/>
    <w:rsid w:val="7C694787"/>
    <w:rsid w:val="7F1951E5"/>
    <w:rsid w:val="7F49435B"/>
    <w:rsid w:val="7F5F2FD2"/>
    <w:rsid w:val="7F5F4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7287</Words>
  <Characters>8158</Characters>
  <Lines>25</Lines>
  <Paragraphs>7</Paragraphs>
  <TotalTime>93</TotalTime>
  <ScaleCrop>false</ScaleCrop>
  <LinksUpToDate>false</LinksUpToDate>
  <CharactersWithSpaces>8355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2023-05-04T01:13:00Z</dcterms:created>
  <dc:creator>Miss 潘～</dc:creator>
  <cp:lastModifiedBy>Miss 潘～</cp:lastModifiedBy>
  <cp:lastPrinted>2023-07-11T05:26:00Z</cp:lastPrinted>
  <dcterms:modified xsi:type="dcterms:W3CDTF">2023-07-13T02:55:09Z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0EF5B9D383724AAEA102F7488D777767_13</vt:lpwstr>
  </property>
</Properties>
</file>